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A8" w:rsidRPr="00FF50A8" w:rsidRDefault="00FF50A8" w:rsidP="00FF50A8">
      <w:pPr>
        <w:spacing w:after="0" w:line="240" w:lineRule="auto"/>
        <w:jc w:val="center"/>
        <w:rPr>
          <w:rFonts w:ascii="Times New Roman" w:eastAsia="Times New Roman" w:hAnsi="Times New Roman" w:cs="Times New Roman"/>
          <w:b/>
          <w:bCs/>
          <w:lang w:eastAsia="fr-FR"/>
        </w:rPr>
      </w:pPr>
      <w:r w:rsidRPr="00FF50A8">
        <w:rPr>
          <w:rFonts w:ascii="Times New Roman" w:eastAsia="Times New Roman" w:hAnsi="Times New Roman" w:cs="Times New Roman"/>
          <w:b/>
          <w:noProof/>
          <w:lang w:eastAsia="fr-FR"/>
        </w:rPr>
        <w:drawing>
          <wp:inline distT="0" distB="0" distL="0" distR="0" wp14:anchorId="1673C47E" wp14:editId="7245C9FF">
            <wp:extent cx="800100" cy="1009472"/>
            <wp:effectExtent l="0" t="0" r="0" b="635"/>
            <wp:docPr id="2" name="Image 1" descr="LogoCMJ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MJN.gif"/>
                    <pic:cNvPicPr>
                      <a:picLocks noChangeAspect="1" noChangeArrowheads="1"/>
                    </pic:cNvPicPr>
                  </pic:nvPicPr>
                  <pic:blipFill>
                    <a:blip r:embed="rId6" cstate="print">
                      <a:extLst>
                        <a:ext uri="{28A0092B-C50C-407E-A947-70E740481C1C}">
                          <a14:useLocalDpi xmlns:a14="http://schemas.microsoft.com/office/drawing/2010/main" val="0"/>
                        </a:ext>
                      </a:extLst>
                    </a:blip>
                    <a:srcRect r="6564"/>
                    <a:stretch>
                      <a:fillRect/>
                    </a:stretch>
                  </pic:blipFill>
                  <pic:spPr bwMode="auto">
                    <a:xfrm>
                      <a:off x="0" y="0"/>
                      <a:ext cx="802580" cy="1012601"/>
                    </a:xfrm>
                    <a:prstGeom prst="rect">
                      <a:avLst/>
                    </a:prstGeom>
                    <a:solidFill>
                      <a:srgbClr val="FFFFFF"/>
                    </a:solidFill>
                    <a:ln>
                      <a:noFill/>
                    </a:ln>
                  </pic:spPr>
                </pic:pic>
              </a:graphicData>
            </a:graphic>
          </wp:inline>
        </w:drawing>
      </w:r>
    </w:p>
    <w:p w:rsidR="00FF50A8" w:rsidRPr="00FF50A8" w:rsidRDefault="00FF50A8" w:rsidP="00FF50A8">
      <w:pPr>
        <w:spacing w:after="0" w:line="240" w:lineRule="auto"/>
        <w:jc w:val="center"/>
        <w:rPr>
          <w:rFonts w:ascii="Times New Roman" w:eastAsia="Times New Roman" w:hAnsi="Times New Roman" w:cs="Times New Roman"/>
          <w:b/>
          <w:bCs/>
          <w:sz w:val="24"/>
          <w:szCs w:val="24"/>
          <w:lang w:eastAsia="fr-FR"/>
        </w:rPr>
      </w:pPr>
    </w:p>
    <w:p w:rsidR="00FF50A8" w:rsidRPr="00FF50A8" w:rsidRDefault="00FF50A8" w:rsidP="00FF50A8">
      <w:pPr>
        <w:pBdr>
          <w:bottom w:val="single" w:sz="8" w:space="4" w:color="4F81BD"/>
        </w:pBdr>
        <w:spacing w:after="300" w:line="240" w:lineRule="auto"/>
        <w:contextualSpacing/>
        <w:jc w:val="center"/>
        <w:rPr>
          <w:rFonts w:ascii="Palatino Linotype" w:eastAsia="Times New Roman" w:hAnsi="Palatino Linotype" w:cs="Times New Roman"/>
          <w:color w:val="17365D"/>
          <w:spacing w:val="5"/>
          <w:kern w:val="28"/>
          <w:sz w:val="40"/>
          <w:szCs w:val="40"/>
          <w:lang w:eastAsia="fr-FR"/>
        </w:rPr>
      </w:pPr>
      <w:r w:rsidRPr="00FF50A8">
        <w:rPr>
          <w:rFonts w:ascii="Palatino Linotype" w:eastAsia="Times New Roman" w:hAnsi="Palatino Linotype" w:cs="Times New Roman"/>
          <w:color w:val="17365D"/>
          <w:spacing w:val="5"/>
          <w:kern w:val="28"/>
          <w:sz w:val="40"/>
          <w:szCs w:val="40"/>
          <w:lang w:eastAsia="fr-FR"/>
        </w:rPr>
        <w:t>Compte-rendu du Conseil Syndical</w:t>
      </w:r>
    </w:p>
    <w:p w:rsidR="00FF50A8" w:rsidRPr="00FF50A8" w:rsidRDefault="00216FB3" w:rsidP="00FF50A8">
      <w:pPr>
        <w:pBdr>
          <w:bottom w:val="single" w:sz="8" w:space="4" w:color="4F81BD"/>
        </w:pBdr>
        <w:spacing w:after="300" w:line="240" w:lineRule="auto"/>
        <w:contextualSpacing/>
        <w:jc w:val="center"/>
        <w:rPr>
          <w:rFonts w:ascii="Palatino Linotype" w:eastAsia="Times New Roman" w:hAnsi="Palatino Linotype" w:cs="Times New Roman"/>
          <w:color w:val="17365D"/>
          <w:spacing w:val="5"/>
          <w:kern w:val="28"/>
          <w:sz w:val="40"/>
          <w:szCs w:val="40"/>
          <w:lang w:eastAsia="fr-FR"/>
        </w:rPr>
      </w:pPr>
      <w:proofErr w:type="gramStart"/>
      <w:r>
        <w:rPr>
          <w:rFonts w:ascii="Palatino Linotype" w:eastAsia="Times New Roman" w:hAnsi="Palatino Linotype" w:cs="Times New Roman"/>
          <w:color w:val="17365D"/>
          <w:spacing w:val="5"/>
          <w:kern w:val="28"/>
          <w:sz w:val="40"/>
          <w:szCs w:val="40"/>
          <w:lang w:eastAsia="fr-FR"/>
        </w:rPr>
        <w:t>en</w:t>
      </w:r>
      <w:proofErr w:type="gramEnd"/>
      <w:r>
        <w:rPr>
          <w:rFonts w:ascii="Palatino Linotype" w:eastAsia="Times New Roman" w:hAnsi="Palatino Linotype" w:cs="Times New Roman"/>
          <w:color w:val="17365D"/>
          <w:spacing w:val="5"/>
          <w:kern w:val="28"/>
          <w:sz w:val="40"/>
          <w:szCs w:val="40"/>
          <w:lang w:eastAsia="fr-FR"/>
        </w:rPr>
        <w:t xml:space="preserve"> date du 17 décembre</w:t>
      </w:r>
      <w:r w:rsidR="00FF50A8" w:rsidRPr="00FF50A8">
        <w:rPr>
          <w:rFonts w:ascii="Palatino Linotype" w:eastAsia="Times New Roman" w:hAnsi="Palatino Linotype" w:cs="Times New Roman"/>
          <w:color w:val="17365D"/>
          <w:spacing w:val="5"/>
          <w:kern w:val="28"/>
          <w:sz w:val="40"/>
          <w:szCs w:val="40"/>
          <w:lang w:eastAsia="fr-FR"/>
        </w:rPr>
        <w:t xml:space="preserve"> 2024</w:t>
      </w:r>
    </w:p>
    <w:p w:rsidR="00FA08E3" w:rsidRDefault="00FA08E3" w:rsidP="00FF50A8">
      <w:pPr>
        <w:spacing w:after="0" w:line="240" w:lineRule="auto"/>
        <w:ind w:left="-142"/>
        <w:jc w:val="both"/>
        <w:rPr>
          <w:rFonts w:ascii="Palatino Linotype" w:eastAsia="Times New Roman" w:hAnsi="Palatino Linotype" w:cstheme="minorHAnsi"/>
          <w:iCs/>
          <w:lang w:eastAsia="fr-FR"/>
        </w:rPr>
      </w:pPr>
    </w:p>
    <w:p w:rsidR="007B7B8C" w:rsidRPr="007B7B8C" w:rsidRDefault="007B7B8C" w:rsidP="007B7B8C">
      <w:pPr>
        <w:spacing w:after="0" w:line="240" w:lineRule="auto"/>
        <w:ind w:left="-142"/>
        <w:jc w:val="both"/>
        <w:rPr>
          <w:rFonts w:ascii="Palatino Linotype" w:eastAsia="Times New Roman" w:hAnsi="Palatino Linotype" w:cstheme="minorHAnsi"/>
          <w:iCs/>
          <w:lang w:eastAsia="fr-FR"/>
        </w:rPr>
      </w:pPr>
      <w:r w:rsidRPr="007B7B8C">
        <w:rPr>
          <w:rFonts w:ascii="Palatino Linotype" w:eastAsia="Times New Roman" w:hAnsi="Palatino Linotype" w:cstheme="minorHAnsi"/>
          <w:iCs/>
          <w:lang w:eastAsia="fr-FR"/>
        </w:rPr>
        <w:t>L’an deux mil vingt-quatre, le dix-sept décembre, le Conseil Syndical étant assemblé en session ordinaire, après convocation légale, sous la présidence de Monsieur Christophe GEORGES, Président.</w:t>
      </w:r>
    </w:p>
    <w:p w:rsidR="007B7B8C" w:rsidRPr="007B7B8C" w:rsidRDefault="007B7B8C" w:rsidP="007B7B8C">
      <w:pPr>
        <w:spacing w:after="0" w:line="240" w:lineRule="auto"/>
        <w:jc w:val="both"/>
        <w:rPr>
          <w:rFonts w:ascii="Palatino Linotype" w:eastAsia="Times New Roman" w:hAnsi="Palatino Linotype" w:cstheme="minorHAnsi"/>
          <w:iCs/>
          <w:sz w:val="12"/>
          <w:szCs w:val="12"/>
          <w:lang w:eastAsia="fr-FR"/>
        </w:rPr>
      </w:pPr>
      <w:r w:rsidRPr="007B7B8C">
        <w:rPr>
          <w:rFonts w:ascii="Palatino Linotype" w:eastAsia="Times New Roman" w:hAnsi="Palatino Linotype" w:cstheme="minorHAnsi"/>
          <w:iCs/>
          <w:lang w:eastAsia="fr-FR"/>
        </w:rPr>
        <w:t xml:space="preserve">  </w:t>
      </w:r>
    </w:p>
    <w:p w:rsidR="007B7B8C" w:rsidRPr="007B7B8C" w:rsidRDefault="007B7B8C" w:rsidP="007B7B8C">
      <w:pPr>
        <w:spacing w:after="0" w:line="240" w:lineRule="auto"/>
        <w:ind w:left="-142"/>
        <w:jc w:val="both"/>
        <w:rPr>
          <w:rFonts w:ascii="Palatino Linotype" w:eastAsia="Times New Roman" w:hAnsi="Palatino Linotype" w:cstheme="minorHAnsi"/>
          <w:b/>
          <w:bCs/>
          <w:iCs/>
          <w:u w:val="single"/>
          <w:lang w:eastAsia="fr-FR"/>
        </w:rPr>
      </w:pPr>
      <w:r w:rsidRPr="007B7B8C">
        <w:rPr>
          <w:rFonts w:ascii="Palatino Linotype" w:eastAsia="Times New Roman" w:hAnsi="Palatino Linotype" w:cstheme="minorHAnsi"/>
          <w:b/>
          <w:bCs/>
          <w:iCs/>
          <w:u w:val="single"/>
          <w:lang w:eastAsia="fr-FR"/>
        </w:rPr>
        <w:t>Délégués titulaires présent</w:t>
      </w:r>
      <w:r w:rsidRPr="007B7B8C">
        <w:rPr>
          <w:rFonts w:ascii="Palatino Linotype" w:eastAsia="Times New Roman" w:hAnsi="Palatino Linotype" w:cstheme="minorHAnsi"/>
          <w:b/>
          <w:bCs/>
          <w:i/>
          <w:iCs/>
          <w:u w:val="single"/>
          <w:lang w:eastAsia="fr-FR"/>
        </w:rPr>
        <w:t>s</w:t>
      </w:r>
      <w:r w:rsidRPr="007B7B8C">
        <w:rPr>
          <w:rFonts w:ascii="Palatino Linotype" w:eastAsia="Times New Roman" w:hAnsi="Palatino Linotype" w:cstheme="minorHAnsi"/>
          <w:lang w:eastAsia="fr-FR"/>
        </w:rPr>
        <w:t> : MM. FARQUE Alexandre – CRAVE Bruno – STOUFF Jean-Paul - GEORGES Christophe - SORET François - MARCHAL Alain</w:t>
      </w:r>
    </w:p>
    <w:p w:rsidR="007B7B8C" w:rsidRPr="007B7B8C" w:rsidRDefault="007B7B8C" w:rsidP="007B7B8C">
      <w:pPr>
        <w:spacing w:after="0" w:line="240" w:lineRule="auto"/>
        <w:ind w:left="-142"/>
        <w:jc w:val="both"/>
        <w:rPr>
          <w:rFonts w:ascii="Palatino Linotype" w:eastAsia="Times New Roman" w:hAnsi="Palatino Linotype" w:cstheme="minorHAnsi"/>
          <w:b/>
          <w:bCs/>
          <w:iCs/>
          <w:lang w:eastAsia="fr-FR"/>
        </w:rPr>
      </w:pPr>
      <w:r w:rsidRPr="007B7B8C">
        <w:rPr>
          <w:rFonts w:ascii="Palatino Linotype" w:eastAsia="Times New Roman" w:hAnsi="Palatino Linotype" w:cstheme="minorHAnsi"/>
          <w:b/>
          <w:bCs/>
          <w:iCs/>
          <w:u w:val="single"/>
          <w:lang w:eastAsia="fr-FR"/>
        </w:rPr>
        <w:t>Déléguée titulaire absente ou excusée</w:t>
      </w:r>
      <w:r w:rsidRPr="007B7B8C">
        <w:rPr>
          <w:rFonts w:ascii="Palatino Linotype" w:eastAsia="Times New Roman" w:hAnsi="Palatino Linotype" w:cstheme="minorHAnsi"/>
          <w:b/>
          <w:bCs/>
          <w:iCs/>
          <w:lang w:eastAsia="fr-FR"/>
        </w:rPr>
        <w:t xml:space="preserve"> : </w:t>
      </w:r>
      <w:r w:rsidRPr="007B7B8C">
        <w:rPr>
          <w:rFonts w:ascii="Palatino Linotype" w:eastAsia="Times New Roman" w:hAnsi="Palatino Linotype" w:cstheme="minorHAnsi"/>
          <w:lang w:eastAsia="fr-FR"/>
        </w:rPr>
        <w:t xml:space="preserve"> Mme HARZIC Emilie</w:t>
      </w:r>
    </w:p>
    <w:p w:rsidR="007B7B8C" w:rsidRPr="007B7B8C" w:rsidRDefault="007B7B8C" w:rsidP="007B7B8C">
      <w:pPr>
        <w:spacing w:after="0" w:line="240" w:lineRule="auto"/>
        <w:jc w:val="both"/>
        <w:rPr>
          <w:rFonts w:ascii="Palatino Linotype" w:eastAsia="Times New Roman" w:hAnsi="Palatino Linotype" w:cstheme="minorHAnsi"/>
          <w:sz w:val="16"/>
          <w:szCs w:val="16"/>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Le Conseil Syndical a choisi pour secrétaire Monsieur Bruno CRAVE.</w:t>
      </w:r>
    </w:p>
    <w:p w:rsidR="00FF50A8" w:rsidRPr="00FF50A8" w:rsidRDefault="00FF50A8" w:rsidP="00FF50A8">
      <w:pPr>
        <w:spacing w:after="0" w:line="240" w:lineRule="auto"/>
        <w:jc w:val="center"/>
        <w:rPr>
          <w:rFonts w:ascii="Palatino Linotype" w:eastAsia="Times New Roman" w:hAnsi="Palatino Linotype" w:cs="Times New Roman"/>
          <w:lang w:eastAsia="fr-FR"/>
        </w:rPr>
      </w:pPr>
      <w:r w:rsidRPr="00FF50A8">
        <w:rPr>
          <w:rFonts w:ascii="Palatino Linotype" w:eastAsia="Times New Roman" w:hAnsi="Palatino Linotype" w:cs="Times New Roman"/>
          <w:b/>
          <w:bCs/>
          <w:color w:val="000000"/>
          <w:lang w:eastAsia="fr-FR"/>
        </w:rPr>
        <w:t>________________</w:t>
      </w:r>
    </w:p>
    <w:p w:rsidR="00FF50A8" w:rsidRPr="00FF50A8" w:rsidRDefault="00FF50A8" w:rsidP="00FF50A8">
      <w:pPr>
        <w:spacing w:after="0" w:line="240" w:lineRule="auto"/>
        <w:jc w:val="both"/>
        <w:rPr>
          <w:rFonts w:ascii="Palatino Linotype" w:eastAsia="Times New Roman" w:hAnsi="Palatino Linotype" w:cs="Times New Roman"/>
          <w:color w:val="000000"/>
          <w:lang w:eastAsia="fr-FR"/>
        </w:rPr>
      </w:pPr>
    </w:p>
    <w:p w:rsidR="00FF50A8" w:rsidRDefault="00FF50A8" w:rsidP="00FF50A8">
      <w:pPr>
        <w:spacing w:after="0" w:line="240" w:lineRule="auto"/>
        <w:ind w:left="-142"/>
        <w:jc w:val="both"/>
        <w:rPr>
          <w:rFonts w:ascii="Palatino Linotype" w:eastAsia="Times New Roman" w:hAnsi="Palatino Linotype" w:cs="Times New Roman"/>
          <w:color w:val="000000"/>
          <w:lang w:eastAsia="fr-FR"/>
        </w:rPr>
      </w:pPr>
      <w:r w:rsidRPr="00FF50A8">
        <w:rPr>
          <w:rFonts w:ascii="Palatino Linotype" w:eastAsia="Times New Roman" w:hAnsi="Palatino Linotype" w:cs="Times New Roman"/>
          <w:color w:val="000000"/>
          <w:lang w:eastAsia="fr-FR"/>
        </w:rPr>
        <w:t>Monsieur le Président remercie les délégués pour leur présence et donne lecture de l’ordre du jour.</w:t>
      </w:r>
    </w:p>
    <w:p w:rsidR="00173F9B" w:rsidRPr="00FF50A8" w:rsidRDefault="00173F9B" w:rsidP="00FF50A8">
      <w:pPr>
        <w:spacing w:after="0" w:line="240" w:lineRule="auto"/>
        <w:ind w:left="-142"/>
        <w:jc w:val="both"/>
        <w:rPr>
          <w:rFonts w:ascii="Palatino Linotype" w:eastAsia="Times New Roman" w:hAnsi="Palatino Linotype" w:cs="Times New Roman"/>
          <w:color w:val="000000"/>
          <w:lang w:eastAsia="fr-FR"/>
        </w:rPr>
      </w:pPr>
    </w:p>
    <w:p w:rsidR="00FF50A8" w:rsidRPr="00FF50A8" w:rsidRDefault="007B7B8C" w:rsidP="00FF50A8">
      <w:pPr>
        <w:pBdr>
          <w:top w:val="single" w:sz="4" w:space="0" w:color="auto"/>
          <w:left w:val="single" w:sz="4" w:space="4" w:color="auto"/>
          <w:bottom w:val="single" w:sz="4" w:space="1" w:color="auto"/>
          <w:right w:val="single" w:sz="4" w:space="4" w:color="auto"/>
        </w:pBdr>
        <w:spacing w:after="0" w:line="240" w:lineRule="auto"/>
        <w:jc w:val="center"/>
        <w:rPr>
          <w:rFonts w:ascii="Palatino Linotype" w:hAnsi="Palatino Linotype"/>
          <w:b/>
          <w:sz w:val="24"/>
          <w:szCs w:val="24"/>
        </w:rPr>
      </w:pPr>
      <w:r>
        <w:rPr>
          <w:rFonts w:ascii="Palatino Linotype" w:hAnsi="Palatino Linotype"/>
          <w:b/>
          <w:sz w:val="24"/>
          <w:szCs w:val="24"/>
        </w:rPr>
        <w:t>PRIX DE L’EAU – ANNEE 2025</w:t>
      </w:r>
    </w:p>
    <w:p w:rsidR="00FF50A8" w:rsidRDefault="00FF50A8" w:rsidP="00FF50A8">
      <w:pPr>
        <w:spacing w:after="0" w:line="240" w:lineRule="auto"/>
        <w:jc w:val="both"/>
        <w:rPr>
          <w:rFonts w:ascii="Palatino Linotype" w:eastAsia="Times New Roman" w:hAnsi="Palatino Linotype" w:cs="Calibri"/>
          <w:b/>
          <w:i/>
          <w:color w:val="000000"/>
          <w:sz w:val="24"/>
          <w:szCs w:val="24"/>
          <w:u w:val="single"/>
          <w:lang w:eastAsia="fr-FR"/>
        </w:rPr>
      </w:pPr>
    </w:p>
    <w:p w:rsidR="00173F9B" w:rsidRDefault="00173F9B" w:rsidP="00173F9B">
      <w:pPr>
        <w:spacing w:after="0" w:line="240" w:lineRule="auto"/>
        <w:ind w:left="-142"/>
        <w:jc w:val="both"/>
        <w:rPr>
          <w:rFonts w:ascii="Palatino Linotype" w:eastAsia="Times New Roman" w:hAnsi="Palatino Linotype" w:cs="Calibri"/>
          <w:b/>
          <w:i/>
          <w:color w:val="000000"/>
          <w:sz w:val="24"/>
          <w:szCs w:val="24"/>
          <w:u w:val="single"/>
          <w:lang w:eastAsia="fr-FR"/>
        </w:rPr>
      </w:pPr>
      <w:r w:rsidRPr="00FF50A8">
        <w:rPr>
          <w:rFonts w:ascii="Palatino Linotype" w:eastAsia="Times New Roman" w:hAnsi="Palatino Linotype" w:cs="Calibri"/>
          <w:b/>
          <w:i/>
          <w:color w:val="000000"/>
          <w:sz w:val="24"/>
          <w:szCs w:val="24"/>
          <w:u w:val="single"/>
          <w:lang w:eastAsia="fr-FR"/>
        </w:rPr>
        <w:t>Délibération</w:t>
      </w:r>
    </w:p>
    <w:p w:rsidR="00FF50A8" w:rsidRDefault="00FF50A8" w:rsidP="00FF50A8">
      <w:pPr>
        <w:spacing w:after="0" w:line="240" w:lineRule="auto"/>
        <w:jc w:val="both"/>
        <w:rPr>
          <w:rFonts w:ascii="Palatino Linotype" w:hAnsi="Palatino Linotype"/>
          <w:b/>
          <w:u w:val="single"/>
        </w:rPr>
      </w:pPr>
    </w:p>
    <w:p w:rsidR="007B7B8C" w:rsidRDefault="007B7B8C" w:rsidP="003F4525">
      <w:pPr>
        <w:widowControl w:val="0"/>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Le Conseil Syndical est appelé à délibérer pour fixer le prix de l’eau pour 2025. </w:t>
      </w:r>
    </w:p>
    <w:p w:rsidR="003F4525" w:rsidRPr="003F4525" w:rsidRDefault="003F4525" w:rsidP="003F4525">
      <w:pPr>
        <w:widowControl w:val="0"/>
        <w:spacing w:after="0" w:line="240" w:lineRule="auto"/>
        <w:ind w:left="-142"/>
        <w:jc w:val="both"/>
        <w:rPr>
          <w:rFonts w:ascii="Palatino Linotype" w:eastAsia="Times New Roman" w:hAnsi="Palatino Linotype" w:cs="Times New Roman"/>
          <w:lang w:eastAsia="fr-FR"/>
        </w:rPr>
      </w:pPr>
    </w:p>
    <w:p w:rsidR="007B7B8C" w:rsidRPr="007B7B8C" w:rsidRDefault="007B7B8C" w:rsidP="007B7B8C">
      <w:pPr>
        <w:widowControl w:val="0"/>
        <w:numPr>
          <w:ilvl w:val="0"/>
          <w:numId w:val="6"/>
        </w:numPr>
        <w:spacing w:after="200" w:line="276" w:lineRule="auto"/>
        <w:contextualSpacing/>
        <w:jc w:val="both"/>
        <w:rPr>
          <w:rFonts w:ascii="Palatino Linotype" w:eastAsia="SF Compact Display Regular" w:hAnsi="Palatino Linotype" w:cs="SF Compact Display Regular"/>
        </w:rPr>
      </w:pPr>
      <w:r w:rsidRPr="007B7B8C">
        <w:rPr>
          <w:rFonts w:ascii="Palatino Linotype" w:hAnsi="Palatino Linotype"/>
        </w:rPr>
        <w:t>Ayant entendu l'exposé du Président,</w:t>
      </w:r>
    </w:p>
    <w:p w:rsidR="007B7B8C" w:rsidRPr="007B7B8C" w:rsidRDefault="007B7B8C" w:rsidP="007B7B8C">
      <w:pPr>
        <w:widowControl w:val="0"/>
        <w:numPr>
          <w:ilvl w:val="0"/>
          <w:numId w:val="6"/>
        </w:numPr>
        <w:spacing w:after="200" w:line="276" w:lineRule="auto"/>
        <w:contextualSpacing/>
        <w:jc w:val="both"/>
        <w:rPr>
          <w:rFonts w:ascii="Palatino Linotype" w:eastAsia="Times New Roman" w:hAnsi="Palatino Linotype" w:cs="Times New Roman"/>
        </w:rPr>
      </w:pPr>
      <w:r w:rsidRPr="007B7B8C">
        <w:rPr>
          <w:rFonts w:ascii="Palatino Linotype" w:hAnsi="Palatino Linotype"/>
        </w:rPr>
        <w:t xml:space="preserve">Après en avoir délibéré, les délégués, à l’unanimité, décident de fixer le prix du m³ d’eau pour l’année 2025, comme suit :   </w:t>
      </w:r>
    </w:p>
    <w:p w:rsidR="007B7B8C" w:rsidRPr="007B7B8C" w:rsidRDefault="007B7B8C" w:rsidP="007B7B8C">
      <w:pPr>
        <w:spacing w:after="0" w:line="240" w:lineRule="auto"/>
        <w:jc w:val="both"/>
        <w:rPr>
          <w:rFonts w:ascii="Palatino Linotype" w:hAnsi="Palatino Linotype"/>
        </w:rPr>
      </w:pPr>
    </w:p>
    <w:p w:rsidR="007B7B8C" w:rsidRPr="007B7B8C" w:rsidRDefault="007B7B8C" w:rsidP="007B7B8C">
      <w:pPr>
        <w:numPr>
          <w:ilvl w:val="0"/>
          <w:numId w:val="6"/>
        </w:numPr>
        <w:tabs>
          <w:tab w:val="left" w:pos="3489"/>
        </w:tabs>
        <w:spacing w:after="200" w:line="276" w:lineRule="auto"/>
        <w:ind w:left="644"/>
        <w:jc w:val="both"/>
        <w:rPr>
          <w:rFonts w:ascii="Palatino Linotype" w:hAnsi="Palatino Linotype"/>
          <w:b/>
        </w:rPr>
      </w:pPr>
      <w:r w:rsidRPr="007B7B8C">
        <w:rPr>
          <w:rFonts w:ascii="Palatino Linotype" w:hAnsi="Palatino Linotype"/>
          <w:b/>
        </w:rPr>
        <w:t>400 premiers m³                        1.63 €uros H.T.</w:t>
      </w:r>
    </w:p>
    <w:p w:rsidR="007B7B8C" w:rsidRPr="007B7B8C" w:rsidRDefault="007B7B8C" w:rsidP="007B7B8C">
      <w:pPr>
        <w:numPr>
          <w:ilvl w:val="0"/>
          <w:numId w:val="6"/>
        </w:numPr>
        <w:spacing w:after="200" w:line="276" w:lineRule="auto"/>
        <w:ind w:left="644"/>
        <w:jc w:val="both"/>
        <w:rPr>
          <w:rFonts w:ascii="Palatino Linotype" w:hAnsi="Palatino Linotype"/>
          <w:b/>
        </w:rPr>
      </w:pPr>
      <w:proofErr w:type="gramStart"/>
      <w:r w:rsidRPr="007B7B8C">
        <w:rPr>
          <w:rFonts w:ascii="Palatino Linotype" w:hAnsi="Palatino Linotype"/>
          <w:b/>
        </w:rPr>
        <w:t>au</w:t>
      </w:r>
      <w:proofErr w:type="gramEnd"/>
      <w:r w:rsidRPr="007B7B8C">
        <w:rPr>
          <w:rFonts w:ascii="Palatino Linotype" w:hAnsi="Palatino Linotype"/>
          <w:b/>
        </w:rPr>
        <w:t>-delà</w:t>
      </w:r>
      <w:r w:rsidRPr="007B7B8C">
        <w:rPr>
          <w:rFonts w:ascii="Palatino Linotype" w:hAnsi="Palatino Linotype"/>
          <w:b/>
        </w:rPr>
        <w:tab/>
      </w:r>
      <w:r w:rsidRPr="007B7B8C">
        <w:rPr>
          <w:rFonts w:ascii="Palatino Linotype" w:hAnsi="Palatino Linotype"/>
          <w:b/>
        </w:rPr>
        <w:tab/>
      </w:r>
      <w:r w:rsidRPr="007B7B8C">
        <w:rPr>
          <w:rFonts w:ascii="Palatino Linotype" w:hAnsi="Palatino Linotype"/>
          <w:b/>
        </w:rPr>
        <w:tab/>
      </w:r>
      <w:r w:rsidRPr="007B7B8C">
        <w:rPr>
          <w:rFonts w:ascii="Palatino Linotype" w:hAnsi="Palatino Linotype"/>
          <w:b/>
        </w:rPr>
        <w:tab/>
        <w:t>1.36 €uros H.T.</w:t>
      </w:r>
    </w:p>
    <w:p w:rsidR="00173F9B" w:rsidRPr="007B7B8C" w:rsidRDefault="00173F9B" w:rsidP="00FF50A8">
      <w:pPr>
        <w:spacing w:after="0" w:line="240" w:lineRule="auto"/>
        <w:jc w:val="both"/>
        <w:rPr>
          <w:rFonts w:ascii="Palatino Linotype" w:hAnsi="Palatino Linotype"/>
          <w:b/>
          <w:sz w:val="16"/>
          <w:szCs w:val="16"/>
          <w:u w:val="single"/>
        </w:rPr>
      </w:pPr>
    </w:p>
    <w:p w:rsidR="00FF50A8" w:rsidRPr="00FF50A8" w:rsidRDefault="007B7B8C" w:rsidP="00FF50A8">
      <w:pPr>
        <w:pBdr>
          <w:top w:val="single" w:sz="4" w:space="0" w:color="auto"/>
          <w:left w:val="single" w:sz="4" w:space="4" w:color="auto"/>
          <w:bottom w:val="single" w:sz="4" w:space="1" w:color="auto"/>
          <w:right w:val="single" w:sz="4" w:space="4" w:color="auto"/>
        </w:pBdr>
        <w:spacing w:after="0" w:line="240" w:lineRule="auto"/>
        <w:jc w:val="center"/>
        <w:rPr>
          <w:rFonts w:ascii="Palatino Linotype" w:hAnsi="Palatino Linotype"/>
          <w:b/>
          <w:sz w:val="24"/>
          <w:szCs w:val="24"/>
        </w:rPr>
      </w:pPr>
      <w:r>
        <w:rPr>
          <w:rFonts w:ascii="Palatino Linotype" w:hAnsi="Palatino Linotype"/>
          <w:b/>
          <w:sz w:val="24"/>
          <w:szCs w:val="24"/>
        </w:rPr>
        <w:t>REDEVANCE SUR LA CONSOMMATION D’EAU POTABLE ET POUR PERFORMANCE DES RESEAUX D’EAU POTABLE</w:t>
      </w:r>
      <w:r w:rsidR="003F4525">
        <w:rPr>
          <w:rFonts w:ascii="Palatino Linotype" w:hAnsi="Palatino Linotype"/>
          <w:b/>
          <w:sz w:val="24"/>
          <w:szCs w:val="24"/>
        </w:rPr>
        <w:t xml:space="preserve"> POUR L’ANNEE 2025</w:t>
      </w:r>
    </w:p>
    <w:p w:rsidR="00FF50A8" w:rsidRDefault="00FF50A8" w:rsidP="00FF50A8">
      <w:pPr>
        <w:spacing w:after="0" w:line="240" w:lineRule="auto"/>
        <w:ind w:left="-142"/>
        <w:jc w:val="both"/>
        <w:rPr>
          <w:rFonts w:ascii="Palatino Linotype" w:eastAsia="Times New Roman" w:hAnsi="Palatino Linotype" w:cs="Calibri"/>
          <w:b/>
          <w:i/>
          <w:color w:val="000000"/>
          <w:sz w:val="24"/>
          <w:szCs w:val="24"/>
          <w:lang w:eastAsia="fr-FR"/>
        </w:rPr>
      </w:pPr>
    </w:p>
    <w:p w:rsidR="00FF50A8" w:rsidRDefault="00FF50A8" w:rsidP="00FF50A8">
      <w:pPr>
        <w:spacing w:after="0" w:line="240" w:lineRule="auto"/>
        <w:ind w:left="-142"/>
        <w:jc w:val="both"/>
        <w:rPr>
          <w:rFonts w:ascii="Palatino Linotype" w:eastAsia="Times New Roman" w:hAnsi="Palatino Linotype" w:cs="Calibri"/>
          <w:b/>
          <w:i/>
          <w:color w:val="000000"/>
          <w:sz w:val="24"/>
          <w:szCs w:val="24"/>
          <w:u w:val="single"/>
          <w:lang w:eastAsia="fr-FR"/>
        </w:rPr>
      </w:pPr>
      <w:r w:rsidRPr="00FF50A8">
        <w:rPr>
          <w:rFonts w:ascii="Palatino Linotype" w:eastAsia="Times New Roman" w:hAnsi="Palatino Linotype" w:cs="Calibri"/>
          <w:b/>
          <w:i/>
          <w:color w:val="000000"/>
          <w:sz w:val="24"/>
          <w:szCs w:val="24"/>
          <w:u w:val="single"/>
          <w:lang w:eastAsia="fr-FR"/>
        </w:rPr>
        <w:t>Délibération</w:t>
      </w:r>
    </w:p>
    <w:p w:rsidR="007B7B8C" w:rsidRPr="007B7B8C" w:rsidRDefault="007B7B8C" w:rsidP="00FF50A8">
      <w:pPr>
        <w:spacing w:after="0" w:line="240" w:lineRule="auto"/>
        <w:ind w:left="-142"/>
        <w:jc w:val="both"/>
        <w:rPr>
          <w:rFonts w:ascii="Palatino Linotype" w:eastAsia="Times New Roman" w:hAnsi="Palatino Linotype" w:cs="Calibri"/>
          <w:b/>
          <w:i/>
          <w:color w:val="000000"/>
          <w:sz w:val="16"/>
          <w:szCs w:val="16"/>
          <w:u w:val="single"/>
          <w:lang w:eastAsia="fr-FR"/>
        </w:rPr>
      </w:pPr>
    </w:p>
    <w:p w:rsidR="007B7B8C" w:rsidRPr="007B7B8C" w:rsidRDefault="007B7B8C" w:rsidP="007B7B8C">
      <w:pPr>
        <w:spacing w:after="0" w:line="240" w:lineRule="auto"/>
        <w:ind w:left="-142"/>
        <w:rPr>
          <w:rFonts w:ascii="Palatino Linotype" w:eastAsia="Times New Roman" w:hAnsi="Palatino Linotype" w:cs="Times New Roman"/>
          <w:color w:val="000000" w:themeColor="text1"/>
          <w:lang w:eastAsia="fr-FR"/>
        </w:rPr>
      </w:pPr>
      <w:r w:rsidRPr="007B7B8C">
        <w:rPr>
          <w:rFonts w:ascii="Palatino Linotype" w:eastAsia="Times New Roman" w:hAnsi="Palatino Linotype" w:cs="Times New Roman"/>
          <w:color w:val="000000" w:themeColor="text1"/>
          <w:lang w:eastAsia="fr-FR"/>
        </w:rPr>
        <w:t>Le Syndicat des Eaux de la Saint-Nicolas,</w:t>
      </w:r>
    </w:p>
    <w:p w:rsidR="007B7B8C" w:rsidRPr="007B7B8C" w:rsidRDefault="007B7B8C" w:rsidP="007B7B8C">
      <w:pPr>
        <w:spacing w:after="0" w:line="240" w:lineRule="auto"/>
        <w:ind w:left="-142" w:hanging="2"/>
        <w:jc w:val="both"/>
        <w:rPr>
          <w:rFonts w:ascii="Palatino Linotype" w:eastAsia="Calibri" w:hAnsi="Palatino Linotype" w:cs="Calibri"/>
          <w:bCs/>
          <w:sz w:val="16"/>
          <w:szCs w:val="16"/>
          <w:lang w:eastAsia="fr-FR"/>
        </w:rPr>
      </w:pPr>
    </w:p>
    <w:p w:rsidR="007B7B8C" w:rsidRPr="007B7B8C" w:rsidRDefault="007B7B8C" w:rsidP="007B7B8C">
      <w:pPr>
        <w:numPr>
          <w:ilvl w:val="0"/>
          <w:numId w:val="9"/>
        </w:numPr>
        <w:spacing w:after="200" w:line="276" w:lineRule="auto"/>
        <w:ind w:left="142"/>
        <w:contextualSpacing/>
        <w:jc w:val="both"/>
        <w:rPr>
          <w:rFonts w:ascii="Palatino Linotype" w:eastAsia="Calibri" w:hAnsi="Palatino Linotype" w:cs="Calibri"/>
          <w:bCs/>
        </w:rPr>
      </w:pPr>
      <w:r w:rsidRPr="007B7B8C">
        <w:rPr>
          <w:rFonts w:ascii="Palatino Linotype" w:eastAsia="Calibri" w:hAnsi="Palatino Linotype" w:cs="Calibri"/>
          <w:bCs/>
        </w:rPr>
        <w:t>Vu le Code Général des Collectivités Territoriales, notamment ses articles L2224-12-2 à L2224-12-4 ;</w:t>
      </w:r>
    </w:p>
    <w:p w:rsidR="007B7B8C" w:rsidRPr="007B7B8C" w:rsidRDefault="007B7B8C" w:rsidP="007B7B8C">
      <w:pPr>
        <w:numPr>
          <w:ilvl w:val="0"/>
          <w:numId w:val="9"/>
        </w:numPr>
        <w:spacing w:after="200" w:line="276" w:lineRule="auto"/>
        <w:ind w:left="142"/>
        <w:contextualSpacing/>
        <w:jc w:val="both"/>
        <w:rPr>
          <w:rFonts w:ascii="Palatino Linotype" w:hAnsi="Palatino Linotype"/>
        </w:rPr>
      </w:pPr>
      <w:r w:rsidRPr="007B7B8C">
        <w:rPr>
          <w:rFonts w:ascii="Palatino Linotype" w:hAnsi="Palatino Linotype"/>
        </w:rPr>
        <w:t>Vu le Code de l’environnement, et notamment ses articles L213-10-4 et -5, et articles D213-48-12-1, D213-48-12-2 à -7, et D213-48-35-1, dans leurs versions applicables à compter du          1</w:t>
      </w:r>
      <w:r w:rsidRPr="007B7B8C">
        <w:rPr>
          <w:rFonts w:ascii="Palatino Linotype" w:hAnsi="Palatino Linotype"/>
          <w:vertAlign w:val="superscript"/>
        </w:rPr>
        <w:t>er</w:t>
      </w:r>
      <w:r w:rsidRPr="007B7B8C">
        <w:rPr>
          <w:rFonts w:ascii="Palatino Linotype" w:hAnsi="Palatino Linotype"/>
        </w:rPr>
        <w:t xml:space="preserve"> janvier 2025 ;</w:t>
      </w:r>
    </w:p>
    <w:p w:rsidR="007B7B8C" w:rsidRPr="007B7B8C" w:rsidRDefault="007B7B8C" w:rsidP="007B7B8C">
      <w:pPr>
        <w:numPr>
          <w:ilvl w:val="0"/>
          <w:numId w:val="9"/>
        </w:numPr>
        <w:spacing w:after="200" w:line="276" w:lineRule="auto"/>
        <w:ind w:left="142"/>
        <w:contextualSpacing/>
        <w:jc w:val="both"/>
        <w:rPr>
          <w:rFonts w:ascii="Palatino Linotype" w:hAnsi="Palatino Linotype"/>
          <w:bCs/>
        </w:rPr>
      </w:pPr>
      <w:r w:rsidRPr="007B7B8C">
        <w:rPr>
          <w:rFonts w:ascii="Palatino Linotype" w:hAnsi="Palatino Linotype"/>
          <w:bCs/>
        </w:rPr>
        <w:lastRenderedPageBreak/>
        <w:t>Vu l’arrêté du 5 juillet 2024 relatif aux modalités d'établissement de la redevance sur la consommation d'eau potable et des redevances pour la performance des réseaux d'eau potable et pour la performance des systèmes d'assainissement collectif,</w:t>
      </w:r>
    </w:p>
    <w:p w:rsidR="007B7B8C" w:rsidRPr="007B7B8C" w:rsidRDefault="007B7B8C" w:rsidP="007B7B8C">
      <w:pPr>
        <w:numPr>
          <w:ilvl w:val="0"/>
          <w:numId w:val="9"/>
        </w:numPr>
        <w:spacing w:after="200" w:line="276" w:lineRule="auto"/>
        <w:ind w:left="142"/>
        <w:contextualSpacing/>
        <w:jc w:val="both"/>
        <w:rPr>
          <w:rFonts w:ascii="Palatino Linotype" w:hAnsi="Palatino Linotype"/>
          <w:bCs/>
        </w:rPr>
      </w:pPr>
      <w:r w:rsidRPr="007B7B8C">
        <w:rPr>
          <w:rFonts w:ascii="Palatino Linotype" w:hAnsi="Palatino Linotype"/>
          <w:bCs/>
        </w:rPr>
        <w:t>Vu l’arrêté du 5 juillet 2024 relatif au montant forfaitaire maximal de la redevance pour la performance des réseaux d'eau potable et de la redevance pour la performance des systèmes d'assainissement collectif pris en compte pour l'application de la redevance d'eau potable et d'assainissement prévue à l'article L2224-12-3 du code général des collectivités territoriales,</w:t>
      </w:r>
    </w:p>
    <w:p w:rsidR="007B7B8C" w:rsidRPr="007B7B8C" w:rsidRDefault="007B7B8C" w:rsidP="007B7B8C">
      <w:pPr>
        <w:numPr>
          <w:ilvl w:val="0"/>
          <w:numId w:val="9"/>
        </w:numPr>
        <w:spacing w:after="200" w:line="276" w:lineRule="auto"/>
        <w:ind w:left="142"/>
        <w:contextualSpacing/>
        <w:jc w:val="both"/>
        <w:rPr>
          <w:rFonts w:ascii="Palatino Linotype" w:hAnsi="Palatino Linotype"/>
          <w:bCs/>
        </w:rPr>
      </w:pPr>
      <w:r w:rsidRPr="007B7B8C">
        <w:rPr>
          <w:rFonts w:ascii="Palatino Linotype" w:hAnsi="Palatino Linotype"/>
          <w:bCs/>
        </w:rPr>
        <w:t>Vu l’arrêté du 10 juillet 1996 relatif aux factures de distribution de l'eau et de collecte et de traitement des eaux usées modifié dans sa version applicable au 1</w:t>
      </w:r>
      <w:r w:rsidRPr="007B7B8C">
        <w:rPr>
          <w:rFonts w:ascii="Palatino Linotype" w:hAnsi="Palatino Linotype"/>
          <w:bCs/>
          <w:vertAlign w:val="superscript"/>
        </w:rPr>
        <w:t>er</w:t>
      </w:r>
      <w:r w:rsidRPr="007B7B8C">
        <w:rPr>
          <w:rFonts w:ascii="Palatino Linotype" w:hAnsi="Palatino Linotype"/>
          <w:bCs/>
        </w:rPr>
        <w:t xml:space="preserve"> janvier 2025,</w:t>
      </w:r>
    </w:p>
    <w:p w:rsidR="007B7B8C" w:rsidRPr="007B7B8C" w:rsidRDefault="007B7B8C" w:rsidP="007B7B8C">
      <w:pPr>
        <w:numPr>
          <w:ilvl w:val="0"/>
          <w:numId w:val="9"/>
        </w:numPr>
        <w:pBdr>
          <w:top w:val="nil"/>
          <w:left w:val="nil"/>
          <w:bottom w:val="nil"/>
          <w:right w:val="nil"/>
          <w:between w:val="nil"/>
        </w:pBdr>
        <w:spacing w:after="200" w:line="276" w:lineRule="auto"/>
        <w:ind w:left="142"/>
        <w:contextualSpacing/>
        <w:jc w:val="both"/>
        <w:rPr>
          <w:rFonts w:ascii="Palatino Linotype" w:eastAsia="Calibri" w:hAnsi="Palatino Linotype" w:cs="Calibri"/>
          <w:bCs/>
        </w:rPr>
      </w:pPr>
      <w:r w:rsidRPr="007B7B8C">
        <w:rPr>
          <w:rFonts w:ascii="Palatino Linotype" w:eastAsia="Calibri" w:hAnsi="Palatino Linotype" w:cs="Calibri"/>
          <w:bCs/>
        </w:rPr>
        <w:t xml:space="preserve">Vu </w:t>
      </w:r>
      <w:bookmarkStart w:id="0" w:name="_Hlk179973774"/>
      <w:r w:rsidRPr="007B7B8C">
        <w:rPr>
          <w:rFonts w:ascii="Palatino Linotype" w:eastAsia="Calibri" w:hAnsi="Palatino Linotype" w:cs="Calibri"/>
          <w:bCs/>
        </w:rPr>
        <w:t>la délibération n° 2024-25 du 04/10/2024 du conseil d'administration de l’Agence de l’eau Rhône Méditerranée Corse portant sur le projet de taux de redevances des années 2025 à 2030 et saisine des comités de bassin pour avis conforme et notamment ses articles 2.4 et 2.5</w:t>
      </w:r>
      <w:bookmarkStart w:id="1" w:name="_Hlk180594598"/>
      <w:r w:rsidRPr="007B7B8C">
        <w:rPr>
          <w:rFonts w:ascii="Palatino Linotype" w:eastAsia="Calibri" w:hAnsi="Palatino Linotype" w:cs="Calibri"/>
          <w:bCs/>
        </w:rPr>
        <w:t xml:space="preserve">, </w:t>
      </w:r>
      <w:bookmarkEnd w:id="0"/>
      <w:bookmarkEnd w:id="1"/>
    </w:p>
    <w:p w:rsidR="007B7B8C" w:rsidRPr="007B7B8C" w:rsidRDefault="007B7B8C" w:rsidP="007B7B8C">
      <w:pPr>
        <w:numPr>
          <w:ilvl w:val="0"/>
          <w:numId w:val="9"/>
        </w:numPr>
        <w:spacing w:after="200" w:line="276" w:lineRule="auto"/>
        <w:ind w:left="142"/>
        <w:contextualSpacing/>
        <w:jc w:val="both"/>
        <w:rPr>
          <w:rFonts w:ascii="Palatino Linotype" w:hAnsi="Palatino Linotype"/>
        </w:rPr>
      </w:pPr>
      <w:r w:rsidRPr="007B7B8C">
        <w:rPr>
          <w:rFonts w:ascii="Palatino Linotype" w:hAnsi="Palatino Linotype"/>
        </w:rPr>
        <w:t>Considérant que la redevance pour prélèvement sur la ressource en eau est maintenue mais que les redevances pour pollution de l’eau d’origine domestique et modernisation des réseaux de collecte sont remplacées à compter du 1</w:t>
      </w:r>
      <w:r w:rsidRPr="007B7B8C">
        <w:rPr>
          <w:rFonts w:ascii="Palatino Linotype" w:hAnsi="Palatino Linotype"/>
          <w:vertAlign w:val="superscript"/>
        </w:rPr>
        <w:t>er</w:t>
      </w:r>
      <w:r w:rsidRPr="007B7B8C">
        <w:rPr>
          <w:rFonts w:ascii="Palatino Linotype" w:hAnsi="Palatino Linotype"/>
        </w:rPr>
        <w:t xml:space="preserve"> janvier 2025 par :</w:t>
      </w:r>
    </w:p>
    <w:p w:rsidR="007B7B8C" w:rsidRPr="007B7B8C" w:rsidRDefault="007B7B8C" w:rsidP="007B7B8C">
      <w:pPr>
        <w:spacing w:after="200" w:line="276" w:lineRule="auto"/>
        <w:ind w:left="142"/>
        <w:contextualSpacing/>
        <w:jc w:val="both"/>
        <w:rPr>
          <w:rFonts w:ascii="Palatino Linotype" w:hAnsi="Palatino Linotype"/>
          <w:sz w:val="16"/>
          <w:szCs w:val="16"/>
        </w:rPr>
      </w:pPr>
    </w:p>
    <w:p w:rsidR="007B7B8C" w:rsidRDefault="007B7B8C" w:rsidP="007B7B8C">
      <w:pPr>
        <w:numPr>
          <w:ilvl w:val="0"/>
          <w:numId w:val="7"/>
        </w:numPr>
        <w:spacing w:after="0" w:line="240" w:lineRule="auto"/>
        <w:ind w:left="-142" w:hanging="142"/>
        <w:jc w:val="both"/>
        <w:rPr>
          <w:rFonts w:ascii="Palatino Linotype" w:hAnsi="Palatino Linotype"/>
        </w:rPr>
      </w:pPr>
      <w:proofErr w:type="gramStart"/>
      <w:r w:rsidRPr="007B7B8C">
        <w:rPr>
          <w:rFonts w:ascii="Palatino Linotype" w:hAnsi="Palatino Linotype"/>
          <w:b/>
          <w:u w:val="single"/>
        </w:rPr>
        <w:t>une</w:t>
      </w:r>
      <w:proofErr w:type="gramEnd"/>
      <w:r w:rsidRPr="007B7B8C">
        <w:rPr>
          <w:rFonts w:ascii="Palatino Linotype" w:hAnsi="Palatino Linotype"/>
          <w:b/>
          <w:u w:val="single"/>
        </w:rPr>
        <w:t xml:space="preserve"> redevance «consommation d’eau potable</w:t>
      </w:r>
      <w:r w:rsidRPr="007B7B8C">
        <w:rPr>
          <w:rFonts w:ascii="Palatino Linotype" w:hAnsi="Palatino Linotype"/>
          <w:b/>
        </w:rPr>
        <w:t>»</w:t>
      </w:r>
      <w:r w:rsidRPr="007B7B8C">
        <w:rPr>
          <w:rFonts w:ascii="Palatino Linotype" w:hAnsi="Palatino Linotype"/>
        </w:rPr>
        <w:t xml:space="preserve"> dont : </w:t>
      </w:r>
    </w:p>
    <w:p w:rsidR="003F4525" w:rsidRPr="007B7B8C" w:rsidRDefault="003F4525" w:rsidP="003F4525">
      <w:pPr>
        <w:spacing w:after="0" w:line="240" w:lineRule="auto"/>
        <w:ind w:left="-142"/>
        <w:jc w:val="both"/>
        <w:rPr>
          <w:rFonts w:ascii="Palatino Linotype" w:hAnsi="Palatino Linotype"/>
        </w:rPr>
      </w:pPr>
    </w:p>
    <w:p w:rsidR="007B7B8C" w:rsidRPr="003F4525" w:rsidRDefault="007B7B8C" w:rsidP="007B7B8C">
      <w:pPr>
        <w:numPr>
          <w:ilvl w:val="1"/>
          <w:numId w:val="8"/>
        </w:numPr>
        <w:spacing w:after="0" w:line="240" w:lineRule="auto"/>
        <w:ind w:left="-142" w:hanging="141"/>
        <w:jc w:val="both"/>
        <w:rPr>
          <w:rFonts w:ascii="Palatino Linotype" w:hAnsi="Palatino Linotype"/>
        </w:rPr>
      </w:pPr>
      <w:proofErr w:type="gramStart"/>
      <w:r w:rsidRPr="007B7B8C">
        <w:rPr>
          <w:rFonts w:ascii="Palatino Linotype" w:hAnsi="Palatino Linotype"/>
        </w:rPr>
        <w:t>le</w:t>
      </w:r>
      <w:proofErr w:type="gramEnd"/>
      <w:r w:rsidRPr="007B7B8C">
        <w:rPr>
          <w:rFonts w:ascii="Palatino Linotype" w:hAnsi="Palatino Linotype"/>
        </w:rPr>
        <w:t xml:space="preserve"> tarif est fixé par l’agence de l’eau </w:t>
      </w:r>
      <w:r w:rsidRPr="007B7B8C">
        <w:rPr>
          <w:rFonts w:ascii="Palatino Linotype" w:eastAsia="Calibri" w:hAnsi="Palatino Linotype" w:cs="Calibri"/>
          <w:bCs/>
        </w:rPr>
        <w:t>Rhône Méditerranée Corse ;</w:t>
      </w:r>
    </w:p>
    <w:p w:rsidR="007B7B8C" w:rsidRDefault="007B7B8C" w:rsidP="007B7B8C">
      <w:pPr>
        <w:numPr>
          <w:ilvl w:val="1"/>
          <w:numId w:val="8"/>
        </w:numPr>
        <w:spacing w:after="0" w:line="240" w:lineRule="auto"/>
        <w:ind w:left="-142" w:hanging="141"/>
        <w:jc w:val="both"/>
        <w:rPr>
          <w:rFonts w:ascii="Palatino Linotype" w:hAnsi="Palatino Linotype"/>
        </w:rPr>
      </w:pPr>
      <w:proofErr w:type="gramStart"/>
      <w:r w:rsidRPr="007B7B8C">
        <w:rPr>
          <w:rFonts w:ascii="Palatino Linotype" w:hAnsi="Palatino Linotype"/>
        </w:rPr>
        <w:t>le</w:t>
      </w:r>
      <w:proofErr w:type="gramEnd"/>
      <w:r w:rsidRPr="007B7B8C">
        <w:rPr>
          <w:rFonts w:ascii="Palatino Linotype" w:hAnsi="Palatino Linotype"/>
        </w:rPr>
        <w:t xml:space="preserve"> redevable est l’abonné au service public de l’eau potable ;</w:t>
      </w:r>
    </w:p>
    <w:p w:rsidR="00EB635C" w:rsidRPr="00EB635C" w:rsidRDefault="007B7B8C" w:rsidP="00EB635C">
      <w:pPr>
        <w:numPr>
          <w:ilvl w:val="1"/>
          <w:numId w:val="8"/>
        </w:numPr>
        <w:spacing w:after="0" w:line="240" w:lineRule="auto"/>
        <w:ind w:left="-142" w:hanging="141"/>
        <w:contextualSpacing/>
        <w:jc w:val="both"/>
        <w:rPr>
          <w:rFonts w:ascii="Palatino Linotype" w:hAnsi="Palatino Linotype"/>
        </w:rPr>
      </w:pPr>
      <w:proofErr w:type="gramStart"/>
      <w:r w:rsidRPr="007B7B8C">
        <w:rPr>
          <w:rFonts w:ascii="Palatino Linotype" w:hAnsi="Palatino Linotype"/>
        </w:rPr>
        <w:t>l’assiette</w:t>
      </w:r>
      <w:proofErr w:type="gramEnd"/>
      <w:r w:rsidRPr="007B7B8C">
        <w:rPr>
          <w:rFonts w:ascii="Palatino Linotype" w:hAnsi="Palatino Linotype"/>
        </w:rPr>
        <w:t xml:space="preserve"> est le volume facturé au cours de l’année civile (indépendamment de la période de consommation).</w:t>
      </w:r>
    </w:p>
    <w:p w:rsidR="00EB635C" w:rsidRPr="00EB635C" w:rsidRDefault="00EB635C" w:rsidP="003F4525">
      <w:pPr>
        <w:spacing w:after="0" w:line="240" w:lineRule="auto"/>
        <w:ind w:left="-142"/>
        <w:contextualSpacing/>
        <w:jc w:val="both"/>
        <w:rPr>
          <w:rFonts w:ascii="Palatino Linotype" w:hAnsi="Palatino Linotype"/>
          <w:sz w:val="12"/>
          <w:szCs w:val="12"/>
        </w:rPr>
      </w:pPr>
    </w:p>
    <w:p w:rsidR="007B7B8C" w:rsidRDefault="007B7B8C" w:rsidP="003F4525">
      <w:pPr>
        <w:spacing w:after="0" w:line="240" w:lineRule="auto"/>
        <w:ind w:left="-142"/>
        <w:contextualSpacing/>
        <w:jc w:val="both"/>
        <w:rPr>
          <w:rFonts w:ascii="Palatino Linotype" w:hAnsi="Palatino Linotype"/>
        </w:rPr>
      </w:pPr>
      <w:r w:rsidRPr="007B7B8C">
        <w:rPr>
          <w:rFonts w:ascii="Palatino Linotype" w:hAnsi="Palatino Linotype"/>
        </w:rPr>
        <w:t>Toutefois, les consommations d’eau potable destinées aux activités d’élevage sont exonérées si elles font l’objet d’un comptage spécifique.</w:t>
      </w:r>
    </w:p>
    <w:p w:rsidR="003F4525" w:rsidRPr="007B7B8C" w:rsidRDefault="003F4525" w:rsidP="003F4525">
      <w:pPr>
        <w:spacing w:after="0" w:line="240" w:lineRule="auto"/>
        <w:ind w:left="-142"/>
        <w:contextualSpacing/>
        <w:jc w:val="both"/>
        <w:rPr>
          <w:rFonts w:ascii="Palatino Linotype" w:hAnsi="Palatino Linotype"/>
          <w:sz w:val="12"/>
          <w:szCs w:val="12"/>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Cette redevance est facturée à l’abonné et recouvrée par la personne qui facture les redevances du service public de distribution d’eau et les sommes encaissées sont reversées à l’agence de l’eau </w:t>
      </w:r>
      <w:bookmarkStart w:id="2" w:name="_Hlk181806866"/>
      <w:r w:rsidRPr="007B7B8C">
        <w:rPr>
          <w:rFonts w:ascii="Palatino Linotype" w:eastAsia="Times New Roman" w:hAnsi="Palatino Linotype" w:cs="Times New Roman"/>
          <w:lang w:eastAsia="fr-FR"/>
        </w:rPr>
        <w:t xml:space="preserve">selon les mêmes modalités que celles qui étaient applicables à la redevance pour pollution de l’eau d’origine domestique. </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bookmarkEnd w:id="2"/>
    <w:p w:rsidR="007B7B8C" w:rsidRDefault="007B7B8C" w:rsidP="007B7B8C">
      <w:pPr>
        <w:numPr>
          <w:ilvl w:val="0"/>
          <w:numId w:val="7"/>
        </w:numPr>
        <w:spacing w:after="0" w:line="240" w:lineRule="auto"/>
        <w:ind w:left="-142" w:hanging="142"/>
        <w:rPr>
          <w:rFonts w:ascii="Palatino Linotype" w:hAnsi="Palatino Linotype"/>
          <w:b/>
          <w:u w:val="single"/>
        </w:rPr>
      </w:pPr>
      <w:proofErr w:type="gramStart"/>
      <w:r w:rsidRPr="007B7B8C">
        <w:rPr>
          <w:rFonts w:ascii="Palatino Linotype" w:hAnsi="Palatino Linotype"/>
          <w:b/>
          <w:u w:val="single"/>
        </w:rPr>
        <w:t>deux</w:t>
      </w:r>
      <w:proofErr w:type="gramEnd"/>
      <w:r w:rsidRPr="007B7B8C">
        <w:rPr>
          <w:rFonts w:ascii="Palatino Linotype" w:hAnsi="Palatino Linotype"/>
          <w:b/>
          <w:u w:val="single"/>
        </w:rPr>
        <w:t xml:space="preserve"> redevances pour performance «des réseaux d’eau potable» d’une part et des «systèmes d’assainissement collectif» d’autre part. </w:t>
      </w:r>
    </w:p>
    <w:p w:rsidR="003F4525" w:rsidRPr="007B7B8C" w:rsidRDefault="003F4525" w:rsidP="003F4525">
      <w:pPr>
        <w:spacing w:after="0" w:line="240" w:lineRule="auto"/>
        <w:ind w:left="-142"/>
        <w:rPr>
          <w:rFonts w:ascii="Palatino Linotype" w:hAnsi="Palatino Linotype"/>
          <w:b/>
          <w:sz w:val="12"/>
          <w:szCs w:val="12"/>
          <w:u w:val="single"/>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Concernant la redevance pour performance des réseaux d’eau potable : </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Default="007B7B8C" w:rsidP="007B7B8C">
      <w:pPr>
        <w:numPr>
          <w:ilvl w:val="1"/>
          <w:numId w:val="8"/>
        </w:numPr>
        <w:spacing w:after="0" w:line="240" w:lineRule="auto"/>
        <w:ind w:left="-142" w:hanging="141"/>
        <w:jc w:val="both"/>
        <w:rPr>
          <w:rFonts w:ascii="Palatino Linotype" w:hAnsi="Palatino Linotype"/>
        </w:rPr>
      </w:pPr>
      <w:r w:rsidRPr="007B7B8C">
        <w:rPr>
          <w:rFonts w:ascii="Palatino Linotype" w:hAnsi="Palatino Linotype"/>
        </w:rPr>
        <w:t>Elle est facturée par l’agence de l’eau aux communes ou à leurs établissements publics compétents pour la distribution publique de l’eau qui en sont les redevables ;</w:t>
      </w:r>
    </w:p>
    <w:p w:rsidR="003F4525" w:rsidRPr="007B7B8C" w:rsidRDefault="003F4525" w:rsidP="003F4525">
      <w:pPr>
        <w:spacing w:after="0" w:line="240" w:lineRule="auto"/>
        <w:ind w:left="-142"/>
        <w:jc w:val="both"/>
        <w:rPr>
          <w:rFonts w:ascii="Palatino Linotype" w:hAnsi="Palatino Linotype"/>
          <w:sz w:val="12"/>
          <w:szCs w:val="12"/>
        </w:rPr>
      </w:pPr>
    </w:p>
    <w:p w:rsidR="007B7B8C" w:rsidRDefault="007B7B8C" w:rsidP="007B7B8C">
      <w:pPr>
        <w:numPr>
          <w:ilvl w:val="1"/>
          <w:numId w:val="8"/>
        </w:numPr>
        <w:spacing w:after="0" w:line="240" w:lineRule="auto"/>
        <w:ind w:left="-142" w:hanging="141"/>
        <w:jc w:val="both"/>
        <w:rPr>
          <w:rFonts w:ascii="Palatino Linotype" w:hAnsi="Palatino Linotype"/>
        </w:rPr>
      </w:pPr>
      <w:r w:rsidRPr="007B7B8C">
        <w:rPr>
          <w:rFonts w:ascii="Palatino Linotype" w:hAnsi="Palatino Linotype"/>
        </w:rPr>
        <w:t>Le tarif de base est fixé par l’agence de l’eau</w:t>
      </w:r>
      <w:r w:rsidRPr="007B7B8C">
        <w:rPr>
          <w:rFonts w:ascii="Palatino Linotype" w:eastAsia="Calibri" w:hAnsi="Palatino Linotype" w:cs="Calibri"/>
          <w:bCs/>
        </w:rPr>
        <w:t xml:space="preserve"> Rhône Méditerranée Corse</w:t>
      </w:r>
      <w:r w:rsidRPr="007B7B8C">
        <w:rPr>
          <w:rFonts w:ascii="Palatino Linotype" w:hAnsi="Palatino Linotype"/>
        </w:rPr>
        <w:t xml:space="preserve"> ; </w:t>
      </w:r>
    </w:p>
    <w:p w:rsidR="003F4525" w:rsidRPr="007B7B8C" w:rsidRDefault="003F4525" w:rsidP="003F4525">
      <w:pPr>
        <w:spacing w:after="0" w:line="240" w:lineRule="auto"/>
        <w:jc w:val="both"/>
        <w:rPr>
          <w:rFonts w:ascii="Palatino Linotype" w:hAnsi="Palatino Linotype"/>
          <w:sz w:val="12"/>
          <w:szCs w:val="12"/>
        </w:rPr>
      </w:pPr>
    </w:p>
    <w:p w:rsidR="003F4525" w:rsidRDefault="007B7B8C" w:rsidP="003F4525">
      <w:pPr>
        <w:numPr>
          <w:ilvl w:val="1"/>
          <w:numId w:val="8"/>
        </w:numPr>
        <w:spacing w:after="0" w:line="240" w:lineRule="auto"/>
        <w:ind w:left="-142" w:hanging="141"/>
        <w:jc w:val="both"/>
        <w:rPr>
          <w:rFonts w:ascii="Palatino Linotype" w:hAnsi="Palatino Linotype"/>
        </w:rPr>
      </w:pPr>
      <w:r w:rsidRPr="007B7B8C">
        <w:rPr>
          <w:rFonts w:ascii="Palatino Linotype" w:hAnsi="Palatino Linotype"/>
        </w:rPr>
        <w:t xml:space="preserve">Le montant applicable est modulé en fonction de la performance des réseaux d’eau potable de la collectivité compétente pour la distribution publique de l’eau ; </w:t>
      </w:r>
      <w:r w:rsidRPr="007B7B8C">
        <w:rPr>
          <w:rFonts w:ascii="Palatino Linotype" w:hAnsi="Palatino Linotype"/>
        </w:rPr>
        <w:br/>
        <w:t>il est égal au tarif de base multiplié par un coefficient de modulation compris entre 0,2 (objectif de performance maximale atteint) et 1 (objectif de performance minimale non atteint, pas d’abattement de la redevance) ;</w:t>
      </w:r>
    </w:p>
    <w:p w:rsidR="007B7B8C" w:rsidRDefault="007B7B8C" w:rsidP="003F4525">
      <w:pPr>
        <w:spacing w:after="0" w:line="240" w:lineRule="auto"/>
        <w:jc w:val="both"/>
        <w:rPr>
          <w:rFonts w:ascii="Palatino Linotype" w:hAnsi="Palatino Linotype"/>
          <w:sz w:val="12"/>
          <w:szCs w:val="12"/>
        </w:rPr>
      </w:pPr>
      <w:r w:rsidRPr="007B7B8C">
        <w:rPr>
          <w:rFonts w:ascii="Palatino Linotype" w:hAnsi="Palatino Linotype"/>
        </w:rPr>
        <w:t xml:space="preserve"> </w:t>
      </w:r>
    </w:p>
    <w:p w:rsidR="007B7B8C" w:rsidRPr="003F4525" w:rsidRDefault="007B7B8C" w:rsidP="007B7B8C">
      <w:pPr>
        <w:numPr>
          <w:ilvl w:val="1"/>
          <w:numId w:val="8"/>
        </w:numPr>
        <w:spacing w:after="0" w:line="240" w:lineRule="auto"/>
        <w:ind w:left="-142" w:hanging="141"/>
        <w:jc w:val="both"/>
        <w:rPr>
          <w:rFonts w:ascii="Palatino Linotype" w:hAnsi="Palatino Linotype"/>
        </w:rPr>
      </w:pPr>
      <w:r w:rsidRPr="007B7B8C">
        <w:rPr>
          <w:rFonts w:ascii="Palatino Linotype" w:hAnsi="Palatino Linotype"/>
        </w:rPr>
        <w:t>L’assiette de cette redevance est constituée par les volumes facturés durant l’année civile</w:t>
      </w:r>
      <w:r w:rsidRPr="007B7B8C">
        <w:rPr>
          <w:rFonts w:ascii="Palatino Linotype" w:hAnsi="Palatino Linotype"/>
          <w:b/>
          <w:bCs/>
          <w:i/>
          <w:iCs/>
        </w:rPr>
        <w:t> </w:t>
      </w:r>
      <w:r w:rsidRPr="007B7B8C">
        <w:rPr>
          <w:rFonts w:ascii="Palatino Linotype" w:hAnsi="Palatino Linotype"/>
        </w:rPr>
        <w:t>;</w:t>
      </w:r>
      <w:r w:rsidRPr="007B7B8C">
        <w:rPr>
          <w:rFonts w:ascii="Palatino Linotype" w:hAnsi="Palatino Linotype"/>
          <w:b/>
          <w:bCs/>
          <w:i/>
          <w:iCs/>
        </w:rPr>
        <w:t xml:space="preserve"> </w:t>
      </w:r>
    </w:p>
    <w:p w:rsidR="003F4525" w:rsidRPr="007B7B8C" w:rsidRDefault="003F4525" w:rsidP="003F4525">
      <w:pPr>
        <w:spacing w:after="0" w:line="240" w:lineRule="auto"/>
        <w:jc w:val="both"/>
        <w:rPr>
          <w:rFonts w:ascii="Palatino Linotype" w:hAnsi="Palatino Linotype"/>
          <w:sz w:val="12"/>
          <w:szCs w:val="12"/>
        </w:rPr>
      </w:pPr>
    </w:p>
    <w:p w:rsidR="007B7B8C" w:rsidRPr="007B7B8C" w:rsidRDefault="007B7B8C" w:rsidP="007B7B8C">
      <w:pPr>
        <w:numPr>
          <w:ilvl w:val="1"/>
          <w:numId w:val="8"/>
        </w:numPr>
        <w:spacing w:after="0" w:line="240" w:lineRule="auto"/>
        <w:ind w:left="-142" w:hanging="141"/>
        <w:contextualSpacing/>
        <w:jc w:val="both"/>
        <w:rPr>
          <w:rFonts w:ascii="Palatino Linotype" w:hAnsi="Palatino Linotype"/>
        </w:rPr>
      </w:pPr>
      <w:r w:rsidRPr="007B7B8C">
        <w:rPr>
          <w:rFonts w:ascii="Palatino Linotype" w:hAnsi="Palatino Linotype"/>
        </w:rPr>
        <w:t>L’Agence de l’eau facture cette redevance à la commune ou à l’établissement public compétent au cours de l’année civile qui suit ;</w:t>
      </w:r>
    </w:p>
    <w:p w:rsidR="007B7B8C" w:rsidRPr="007B7B8C" w:rsidRDefault="007B7B8C" w:rsidP="007B7B8C">
      <w:pPr>
        <w:ind w:left="-142"/>
        <w:contextualSpacing/>
        <w:jc w:val="both"/>
        <w:rPr>
          <w:rFonts w:ascii="Palatino Linotype" w:hAnsi="Palatino Linotype"/>
          <w:sz w:val="12"/>
          <w:szCs w:val="12"/>
        </w:rPr>
      </w:pPr>
    </w:p>
    <w:p w:rsidR="007B7B8C" w:rsidRDefault="007B7B8C" w:rsidP="007B7B8C">
      <w:pPr>
        <w:numPr>
          <w:ilvl w:val="1"/>
          <w:numId w:val="8"/>
        </w:numPr>
        <w:spacing w:after="0" w:line="240" w:lineRule="auto"/>
        <w:ind w:left="-142" w:hanging="142"/>
        <w:jc w:val="both"/>
        <w:rPr>
          <w:rFonts w:ascii="Palatino Linotype" w:hAnsi="Palatino Linotype"/>
        </w:rPr>
      </w:pPr>
      <w:r w:rsidRPr="007B7B8C">
        <w:rPr>
          <w:rFonts w:ascii="Palatino Linotype" w:hAnsi="Palatino Linotype"/>
        </w:rPr>
        <w:t>La redevance est répercutée par anticipation sur chaque usager du service public de distribution d'eau potable sous la forme d'un supplément au prix du mètre cube d'eau vendu et doit faire l’objet d’une individualisation sur la facture d’eau ;</w:t>
      </w:r>
    </w:p>
    <w:p w:rsidR="003F4525" w:rsidRPr="007B7B8C" w:rsidRDefault="003F4525" w:rsidP="003F4525">
      <w:pPr>
        <w:spacing w:after="0" w:line="240" w:lineRule="auto"/>
        <w:jc w:val="both"/>
        <w:rPr>
          <w:rFonts w:ascii="Palatino Linotype" w:hAnsi="Palatino Linotype"/>
          <w:sz w:val="12"/>
          <w:szCs w:val="12"/>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Considérant que l’Agence de l’eau</w:t>
      </w:r>
      <w:r w:rsidRPr="007B7B8C">
        <w:rPr>
          <w:rFonts w:ascii="Palatino Linotype" w:eastAsia="Calibri" w:hAnsi="Palatino Linotype" w:cs="Calibri"/>
          <w:bCs/>
          <w:sz w:val="24"/>
          <w:szCs w:val="24"/>
          <w:lang w:eastAsia="fr-FR"/>
        </w:rPr>
        <w:t xml:space="preserve"> </w:t>
      </w:r>
      <w:r w:rsidRPr="007B7B8C">
        <w:rPr>
          <w:rFonts w:ascii="Palatino Linotype" w:eastAsia="Calibri" w:hAnsi="Palatino Linotype" w:cs="Calibri"/>
          <w:bCs/>
          <w:lang w:eastAsia="fr-FR"/>
        </w:rPr>
        <w:t>Rhône Méditerranée Corse</w:t>
      </w:r>
      <w:r w:rsidRPr="007B7B8C">
        <w:rPr>
          <w:rFonts w:ascii="Palatino Linotype" w:eastAsia="Times New Roman" w:hAnsi="Palatino Linotype" w:cs="Times New Roman"/>
          <w:lang w:eastAsia="fr-FR"/>
        </w:rPr>
        <w:t xml:space="preserve"> a fixé le tarif de la redevance pour consommation d’eau à 0,43€ HT/m</w:t>
      </w:r>
      <w:r w:rsidRPr="007B7B8C">
        <w:rPr>
          <w:rFonts w:ascii="Palatino Linotype" w:eastAsia="Times New Roman" w:hAnsi="Palatino Linotype" w:cs="Times New Roman"/>
          <w:vertAlign w:val="superscript"/>
          <w:lang w:eastAsia="fr-FR"/>
        </w:rPr>
        <w:t>3</w:t>
      </w:r>
      <w:r w:rsidRPr="007B7B8C">
        <w:rPr>
          <w:rFonts w:ascii="Palatino Linotype" w:eastAsia="Times New Roman" w:hAnsi="Palatino Linotype" w:cs="Times New Roman"/>
          <w:lang w:eastAsia="fr-FR"/>
        </w:rPr>
        <w:t xml:space="preserve"> pour l’année 2025.</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Considérant que l’Agence de l’eau</w:t>
      </w:r>
      <w:r w:rsidRPr="007B7B8C">
        <w:rPr>
          <w:rFonts w:ascii="Palatino Linotype" w:eastAsia="Calibri" w:hAnsi="Palatino Linotype" w:cs="Calibri"/>
          <w:bCs/>
          <w:sz w:val="24"/>
          <w:szCs w:val="24"/>
          <w:lang w:eastAsia="fr-FR"/>
        </w:rPr>
        <w:t xml:space="preserve"> </w:t>
      </w:r>
      <w:r w:rsidRPr="007B7B8C">
        <w:rPr>
          <w:rFonts w:ascii="Palatino Linotype" w:eastAsia="Calibri" w:hAnsi="Palatino Linotype" w:cs="Calibri"/>
          <w:bCs/>
          <w:lang w:eastAsia="fr-FR"/>
        </w:rPr>
        <w:t>Rhône Méditerranée Corse</w:t>
      </w:r>
      <w:r w:rsidRPr="007B7B8C">
        <w:rPr>
          <w:rFonts w:ascii="Palatino Linotype" w:eastAsia="Times New Roman" w:hAnsi="Palatino Linotype" w:cs="Times New Roman"/>
          <w:lang w:eastAsia="fr-FR"/>
        </w:rPr>
        <w:t xml:space="preserve"> a fixé le tarif de la redevance pour performance des réseaux d’eau potable à 0,01 €HT/m</w:t>
      </w:r>
      <w:r w:rsidRPr="007B7B8C">
        <w:rPr>
          <w:rFonts w:ascii="Palatino Linotype" w:eastAsia="Times New Roman" w:hAnsi="Palatino Linotype" w:cs="Times New Roman"/>
          <w:vertAlign w:val="superscript"/>
          <w:lang w:eastAsia="fr-FR"/>
        </w:rPr>
        <w:t>3</w:t>
      </w:r>
      <w:r w:rsidRPr="007B7B8C">
        <w:rPr>
          <w:rFonts w:ascii="Palatino Linotype" w:eastAsia="Times New Roman" w:hAnsi="Palatino Linotype" w:cs="Times New Roman"/>
          <w:lang w:eastAsia="fr-FR"/>
        </w:rPr>
        <w:t xml:space="preserve"> pour l’année 2025.</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Considérant que pour l’année 2025, le coefficient de modulation est fixé forfaitairement à </w:t>
      </w:r>
      <w:r w:rsidRPr="007B7B8C">
        <w:rPr>
          <w:rFonts w:ascii="Palatino Linotype" w:eastAsia="Times New Roman" w:hAnsi="Palatino Linotype" w:cs="Times New Roman"/>
          <w:b/>
          <w:bCs/>
          <w:lang w:eastAsia="fr-FR"/>
        </w:rPr>
        <w:t>0,2</w:t>
      </w:r>
      <w:r w:rsidRPr="007B7B8C">
        <w:rPr>
          <w:rFonts w:ascii="Palatino Linotype" w:eastAsia="Times New Roman" w:hAnsi="Palatino Linotype" w:cs="Times New Roman"/>
          <w:lang w:eastAsia="fr-FR"/>
        </w:rPr>
        <w:t xml:space="preserve"> pour la redevance pour performance des réseaux d’eau potable (la performance des réseaux d’eau n’étant pas prise en compte pour cette première année).</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Considérant qu’il convient de fixer le tarif de la contrevaleur pour la redevance pour performance des réseaux d’eau potable, qui doit être répercutée sur chaque usager du service public d’eau potable </w:t>
      </w:r>
      <w:r w:rsidRPr="007B7B8C">
        <w:rPr>
          <w:rFonts w:ascii="Palatino Linotype" w:eastAsia="Calibri" w:hAnsi="Palatino Linotype" w:cs="Calibri"/>
          <w:lang w:eastAsia="fr-FR"/>
        </w:rPr>
        <w:t>sous la forme d'un supplément au prix du mètre cube d'eau vendu.</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lang w:eastAsia="fr-FR"/>
        </w:rPr>
      </w:pPr>
      <w:r w:rsidRPr="007B7B8C">
        <w:rPr>
          <w:rFonts w:ascii="Palatino Linotype" w:eastAsia="Times New Roman" w:hAnsi="Palatino Linotype" w:cs="Times New Roman"/>
          <w:lang w:eastAsia="fr-FR"/>
        </w:rPr>
        <w:t xml:space="preserve">Considérant que le supplément de prix « redevance pour la performance des réseaux d’eau potable » constitue un élément du prix du service public de l’eau potable doit donc être assujetti à la TVA au taux réduit de 5,5 % (métropole). </w:t>
      </w:r>
    </w:p>
    <w:p w:rsidR="007B7B8C" w:rsidRPr="007B7B8C" w:rsidRDefault="007B7B8C" w:rsidP="007B7B8C">
      <w:pPr>
        <w:spacing w:after="0" w:line="240" w:lineRule="auto"/>
        <w:ind w:left="-142"/>
        <w:jc w:val="both"/>
        <w:rPr>
          <w:rFonts w:ascii="Palatino Linotype" w:eastAsia="Times New Roman" w:hAnsi="Palatino Linotype" w:cs="Times New Roman"/>
          <w:sz w:val="12"/>
          <w:szCs w:val="12"/>
          <w:lang w:eastAsia="fr-FR"/>
        </w:rPr>
      </w:pPr>
    </w:p>
    <w:p w:rsidR="007B7B8C" w:rsidRPr="007B7B8C" w:rsidRDefault="007B7B8C" w:rsidP="007B7B8C">
      <w:pPr>
        <w:spacing w:after="0" w:line="240" w:lineRule="auto"/>
        <w:ind w:left="-142"/>
        <w:jc w:val="both"/>
        <w:rPr>
          <w:rFonts w:ascii="Palatino Linotype" w:eastAsia="Times New Roman" w:hAnsi="Palatino Linotype" w:cs="Times New Roman"/>
          <w:iCs/>
          <w:lang w:eastAsia="fr-FR"/>
        </w:rPr>
      </w:pPr>
      <w:r w:rsidRPr="007B7B8C">
        <w:rPr>
          <w:rFonts w:ascii="Palatino Linotype" w:eastAsia="Times New Roman" w:hAnsi="Palatino Linotype" w:cs="Times New Roman"/>
          <w:iCs/>
          <w:lang w:eastAsia="fr-FR"/>
        </w:rPr>
        <w:t>Après en avoir délibéré et procédé au vote, le Conseil Syndical, à l’unanimité :</w:t>
      </w:r>
    </w:p>
    <w:p w:rsidR="007B7B8C" w:rsidRPr="007B7B8C" w:rsidRDefault="007B7B8C" w:rsidP="007B7B8C">
      <w:pPr>
        <w:spacing w:after="0" w:line="240" w:lineRule="auto"/>
        <w:jc w:val="both"/>
        <w:rPr>
          <w:rFonts w:ascii="Palatino Linotype" w:eastAsia="Times New Roman" w:hAnsi="Palatino Linotype" w:cs="Times New Roman"/>
          <w:b/>
          <w:bCs/>
          <w:iCs/>
          <w:sz w:val="12"/>
          <w:szCs w:val="12"/>
          <w:lang w:eastAsia="fr-FR"/>
        </w:rPr>
      </w:pPr>
    </w:p>
    <w:p w:rsidR="007B7B8C" w:rsidRPr="007B7B8C" w:rsidRDefault="007B7B8C" w:rsidP="007B7B8C">
      <w:pPr>
        <w:numPr>
          <w:ilvl w:val="0"/>
          <w:numId w:val="7"/>
        </w:numPr>
        <w:spacing w:after="0" w:line="240" w:lineRule="auto"/>
        <w:ind w:left="-142" w:hanging="142"/>
        <w:jc w:val="both"/>
        <w:rPr>
          <w:rFonts w:ascii="Palatino Linotype" w:hAnsi="Palatino Linotype"/>
        </w:rPr>
      </w:pPr>
      <w:r w:rsidRPr="007B7B8C">
        <w:rPr>
          <w:rFonts w:ascii="Palatino Linotype" w:hAnsi="Palatino Linotype"/>
          <w:b/>
        </w:rPr>
        <w:t xml:space="preserve">DÉCIDE </w:t>
      </w:r>
      <w:r w:rsidRPr="007B7B8C">
        <w:rPr>
          <w:rFonts w:ascii="Palatino Linotype" w:hAnsi="Palatino Linotype"/>
        </w:rPr>
        <w:t>de fixer à 0,01 € HT/m</w:t>
      </w:r>
      <w:r w:rsidRPr="007B7B8C">
        <w:rPr>
          <w:rFonts w:ascii="Palatino Linotype" w:hAnsi="Palatino Linotype"/>
          <w:vertAlign w:val="superscript"/>
        </w:rPr>
        <w:t>3</w:t>
      </w:r>
      <w:r w:rsidRPr="007B7B8C">
        <w:rPr>
          <w:rFonts w:ascii="Palatino Linotype" w:hAnsi="Palatino Linotype"/>
        </w:rPr>
        <w:t xml:space="preserve"> la contre-valeur correspondant à la « redevance pour performance des réseaux d’eau potable » devant être répercutée sur chaque usager du service public d’eau potable sous la forme d’un supplément au prix du mètre cube d’eau vendu, applicable à compter du 1</w:t>
      </w:r>
      <w:r w:rsidRPr="007B7B8C">
        <w:rPr>
          <w:rFonts w:ascii="Palatino Linotype" w:hAnsi="Palatino Linotype"/>
          <w:vertAlign w:val="superscript"/>
        </w:rPr>
        <w:t>er</w:t>
      </w:r>
      <w:r w:rsidR="003F4525">
        <w:rPr>
          <w:rFonts w:ascii="Palatino Linotype" w:hAnsi="Palatino Linotype"/>
        </w:rPr>
        <w:t xml:space="preserve"> janvier 2025.</w:t>
      </w:r>
    </w:p>
    <w:p w:rsidR="00FF50A8" w:rsidRPr="00EB635C" w:rsidRDefault="00FF50A8" w:rsidP="00FF50A8">
      <w:pPr>
        <w:spacing w:after="0" w:line="240" w:lineRule="auto"/>
        <w:ind w:left="-142"/>
        <w:jc w:val="both"/>
        <w:rPr>
          <w:rFonts w:ascii="Palatino Linotype" w:eastAsia="Times New Roman" w:hAnsi="Palatino Linotype" w:cs="Calibri"/>
          <w:b/>
          <w:i/>
          <w:color w:val="000000"/>
          <w:sz w:val="12"/>
          <w:szCs w:val="12"/>
          <w:u w:val="single"/>
          <w:lang w:eastAsia="fr-FR"/>
        </w:rPr>
      </w:pPr>
    </w:p>
    <w:p w:rsidR="00FF50A8" w:rsidRPr="007B7B8C" w:rsidRDefault="00FF50A8" w:rsidP="00FF50A8">
      <w:pPr>
        <w:pStyle w:val="FreeForm"/>
        <w:jc w:val="both"/>
        <w:rPr>
          <w:rFonts w:ascii="Palatino Linotype" w:eastAsia="SF Compact Text Regular" w:hAnsi="Palatino Linotype" w:cs="SF Compact Text Regular"/>
          <w:sz w:val="16"/>
          <w:szCs w:val="16"/>
        </w:rPr>
      </w:pPr>
    </w:p>
    <w:p w:rsidR="00FF50A8" w:rsidRPr="00FF50A8" w:rsidRDefault="007B7B8C" w:rsidP="00173F9B">
      <w:pPr>
        <w:pStyle w:val="Paragraphedeliste"/>
        <w:pBdr>
          <w:top w:val="single" w:sz="4" w:space="0" w:color="auto"/>
          <w:left w:val="single" w:sz="4" w:space="31" w:color="auto"/>
          <w:bottom w:val="single" w:sz="4" w:space="1" w:color="auto"/>
          <w:right w:val="single" w:sz="4" w:space="4" w:color="auto"/>
        </w:pBdr>
        <w:spacing w:after="0" w:line="240" w:lineRule="auto"/>
        <w:jc w:val="center"/>
        <w:rPr>
          <w:rFonts w:ascii="Palatino Linotype" w:hAnsi="Palatino Linotype"/>
          <w:b/>
          <w:sz w:val="24"/>
          <w:szCs w:val="24"/>
        </w:rPr>
      </w:pPr>
      <w:r>
        <w:rPr>
          <w:rFonts w:ascii="Palatino Linotype" w:hAnsi="Palatino Linotype"/>
          <w:b/>
          <w:sz w:val="24"/>
          <w:szCs w:val="24"/>
        </w:rPr>
        <w:t>DIVERS TARIFS – ANNEE 2025</w:t>
      </w:r>
    </w:p>
    <w:p w:rsidR="00FA08E3" w:rsidRPr="00EB635C" w:rsidRDefault="00FA08E3" w:rsidP="00FA08E3">
      <w:pPr>
        <w:spacing w:after="0" w:line="240" w:lineRule="auto"/>
        <w:jc w:val="both"/>
        <w:rPr>
          <w:rFonts w:ascii="Palatino Linotype" w:eastAsia="Times New Roman" w:hAnsi="Palatino Linotype" w:cs="Calibri"/>
          <w:b/>
          <w:i/>
          <w:color w:val="000000"/>
          <w:sz w:val="16"/>
          <w:szCs w:val="16"/>
          <w:u w:val="single"/>
          <w:lang w:eastAsia="fr-FR"/>
        </w:rPr>
      </w:pPr>
    </w:p>
    <w:p w:rsidR="00173F9B" w:rsidRDefault="00173F9B" w:rsidP="00173F9B">
      <w:pPr>
        <w:spacing w:after="0" w:line="240" w:lineRule="auto"/>
        <w:ind w:left="142"/>
        <w:jc w:val="both"/>
        <w:rPr>
          <w:rFonts w:ascii="Palatino Linotype" w:eastAsia="Times New Roman" w:hAnsi="Palatino Linotype" w:cs="Calibri"/>
          <w:b/>
          <w:i/>
          <w:color w:val="000000"/>
          <w:sz w:val="24"/>
          <w:szCs w:val="24"/>
          <w:u w:val="single"/>
          <w:lang w:eastAsia="fr-FR"/>
        </w:rPr>
      </w:pPr>
      <w:r w:rsidRPr="00FF50A8">
        <w:rPr>
          <w:rFonts w:ascii="Palatino Linotype" w:eastAsia="Times New Roman" w:hAnsi="Palatino Linotype" w:cs="Calibri"/>
          <w:b/>
          <w:i/>
          <w:color w:val="000000"/>
          <w:sz w:val="24"/>
          <w:szCs w:val="24"/>
          <w:u w:val="single"/>
          <w:lang w:eastAsia="fr-FR"/>
        </w:rPr>
        <w:t>Délibération</w:t>
      </w:r>
    </w:p>
    <w:p w:rsidR="00FF50A8" w:rsidRPr="007B7B8C" w:rsidRDefault="00FF50A8" w:rsidP="00FA08E3">
      <w:pPr>
        <w:pStyle w:val="FreeForm"/>
        <w:jc w:val="both"/>
        <w:rPr>
          <w:rFonts w:ascii="Palatino Linotype" w:hAnsi="Palatino Linotype" w:cs="Arial"/>
          <w:sz w:val="16"/>
          <w:szCs w:val="16"/>
        </w:rPr>
      </w:pPr>
    </w:p>
    <w:p w:rsidR="007B7B8C" w:rsidRPr="007B7B8C" w:rsidRDefault="007B7B8C" w:rsidP="007B7B8C">
      <w:pPr>
        <w:widowControl w:val="0"/>
        <w:numPr>
          <w:ilvl w:val="0"/>
          <w:numId w:val="6"/>
        </w:numPr>
        <w:spacing w:after="200" w:line="276" w:lineRule="auto"/>
        <w:contextualSpacing/>
        <w:jc w:val="both"/>
        <w:rPr>
          <w:rFonts w:ascii="Palatino Linotype" w:eastAsia="SF Compact Display Regular" w:hAnsi="Palatino Linotype" w:cs="SF Compact Display Regular"/>
        </w:rPr>
      </w:pPr>
      <w:r w:rsidRPr="007B7B8C">
        <w:rPr>
          <w:rFonts w:ascii="Palatino Linotype" w:hAnsi="Palatino Linotype"/>
        </w:rPr>
        <w:t xml:space="preserve">Le Conseil Syndical est appelé à délibérer pour fixer les divers tarifs pour l’année 2025. </w:t>
      </w:r>
    </w:p>
    <w:p w:rsidR="007B7B8C" w:rsidRPr="007B7B8C" w:rsidRDefault="007B7B8C" w:rsidP="007B7B8C">
      <w:pPr>
        <w:widowControl w:val="0"/>
        <w:numPr>
          <w:ilvl w:val="0"/>
          <w:numId w:val="6"/>
        </w:numPr>
        <w:spacing w:after="200" w:line="276" w:lineRule="auto"/>
        <w:contextualSpacing/>
        <w:jc w:val="both"/>
        <w:rPr>
          <w:rFonts w:ascii="Palatino Linotype" w:eastAsia="SF Compact Display Regular" w:hAnsi="Palatino Linotype" w:cs="SF Compact Display Regular"/>
        </w:rPr>
      </w:pPr>
      <w:r w:rsidRPr="007B7B8C">
        <w:rPr>
          <w:rFonts w:ascii="Palatino Linotype" w:hAnsi="Palatino Linotype"/>
        </w:rPr>
        <w:t>Ayant entendu l'exposé du Président,</w:t>
      </w:r>
    </w:p>
    <w:p w:rsidR="007B7B8C" w:rsidRPr="007B7B8C" w:rsidRDefault="007B7B8C" w:rsidP="007B7B8C">
      <w:pPr>
        <w:widowControl w:val="0"/>
        <w:numPr>
          <w:ilvl w:val="0"/>
          <w:numId w:val="6"/>
        </w:numPr>
        <w:spacing w:after="200" w:line="276" w:lineRule="auto"/>
        <w:contextualSpacing/>
        <w:jc w:val="both"/>
        <w:rPr>
          <w:rFonts w:ascii="Palatino Linotype" w:eastAsia="Times New Roman" w:hAnsi="Palatino Linotype" w:cs="Times New Roman"/>
        </w:rPr>
      </w:pPr>
      <w:r w:rsidRPr="007B7B8C">
        <w:rPr>
          <w:rFonts w:ascii="Palatino Linotype" w:hAnsi="Palatino Linotype"/>
        </w:rPr>
        <w:t xml:space="preserve">Après en avoir délibéré, les délégués, à l’unanimité, décident de fixer les divers tarifs pour l’année 2025 comme suit :  </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tblGrid>
      <w:tr w:rsidR="007B7B8C" w:rsidRPr="007B7B8C" w:rsidTr="00EB635C">
        <w:trPr>
          <w:trHeight w:val="341"/>
        </w:trPr>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jc w:val="center"/>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Désignation</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center"/>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Tarifs 2025</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Redevance sur prélèvements</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color w:val="000000" w:themeColor="text1"/>
                <w:lang w:eastAsia="fr-FR"/>
              </w:rPr>
            </w:pPr>
            <w:r w:rsidRPr="007B7B8C">
              <w:rPr>
                <w:rFonts w:ascii="Palatino Linotype" w:eastAsia="Times New Roman" w:hAnsi="Palatino Linotype" w:cs="Times New Roman"/>
                <w:b/>
                <w:bCs/>
                <w:color w:val="000000" w:themeColor="text1"/>
                <w:lang w:eastAsia="fr-FR"/>
              </w:rPr>
              <w:t>0.10</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Dépose de branchement – résiliation d’abonnement</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145.00</w:t>
            </w:r>
          </w:p>
        </w:tc>
      </w:tr>
      <w:tr w:rsidR="007B7B8C" w:rsidRPr="007B7B8C" w:rsidTr="00EB635C">
        <w:trPr>
          <w:trHeight w:val="347"/>
        </w:trPr>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Redevance d’abonnement</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42.00</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Heure de fontainiers</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38.50</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Montant de la prise en charge lors de l’intervention des fontainiers (déplacement et mise à disposition petit outillage)</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33.00</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color w:val="000000"/>
                <w:lang w:eastAsia="fr-FR"/>
              </w:rPr>
              <w:t>Montant de la prise en charge lors d’interventions en urgence le week-end ou les jours fériés lors de sinistres</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70.00</w:t>
            </w: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Fourniture et pose compteur horizontal 15 mm</w:t>
            </w:r>
          </w:p>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Fourniture et pose compteur toutes positions 15 mm</w:t>
            </w:r>
          </w:p>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Fourniture et pose compteur horizontal 20 mm</w:t>
            </w:r>
          </w:p>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Fourniture et pose compteur à tête émettrice 15 mm</w:t>
            </w:r>
          </w:p>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Fourniture et pose compteur à tête émettrice 20 mm</w:t>
            </w:r>
          </w:p>
          <w:p w:rsidR="007B7B8C" w:rsidRPr="007B7B8C" w:rsidRDefault="007B7B8C" w:rsidP="007B7B8C">
            <w:pPr>
              <w:spacing w:after="0" w:line="240" w:lineRule="auto"/>
              <w:rPr>
                <w:rFonts w:ascii="Palatino Linotype" w:eastAsia="Times New Roman" w:hAnsi="Palatino Linotype" w:cs="Times New Roman"/>
                <w:bCs/>
                <w:i/>
                <w:lang w:eastAsia="fr-FR"/>
              </w:rPr>
            </w:pPr>
            <w:r w:rsidRPr="007B7B8C">
              <w:rPr>
                <w:rFonts w:ascii="Palatino Linotype" w:eastAsia="Times New Roman" w:hAnsi="Palatino Linotype" w:cs="Times New Roman"/>
                <w:bCs/>
                <w:i/>
                <w:lang w:eastAsia="fr-FR"/>
              </w:rPr>
              <w:t>Le déplacement n’est pas intégré dans le prix du compteur.</w:t>
            </w:r>
          </w:p>
          <w:p w:rsidR="007B7B8C" w:rsidRPr="007B7B8C" w:rsidRDefault="007B7B8C" w:rsidP="007B7B8C">
            <w:pPr>
              <w:spacing w:after="0" w:line="240" w:lineRule="auto"/>
              <w:rPr>
                <w:rFonts w:ascii="Palatino Linotype" w:eastAsia="Times New Roman" w:hAnsi="Palatino Linotype" w:cs="Times New Roman"/>
                <w:bCs/>
                <w:i/>
                <w:lang w:eastAsia="fr-FR"/>
              </w:rPr>
            </w:pPr>
            <w:r w:rsidRPr="007B7B8C">
              <w:rPr>
                <w:rFonts w:ascii="Palatino Linotype" w:eastAsia="Times New Roman" w:hAnsi="Palatino Linotype" w:cs="Times New Roman"/>
                <w:bCs/>
                <w:i/>
                <w:lang w:eastAsia="fr-FR"/>
              </w:rPr>
              <w:t>La main d’œuvre sera facturée en fonction du temps passé au tarif de l’heure de fontainier. Les fournitures et pièces nécessaires à la pose du compteur seront facturées au prix d’achat.</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42.00</w:t>
            </w:r>
          </w:p>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48.00</w:t>
            </w:r>
          </w:p>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50.00</w:t>
            </w:r>
          </w:p>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73.00</w:t>
            </w:r>
          </w:p>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78.00</w:t>
            </w:r>
          </w:p>
          <w:p w:rsidR="007B7B8C" w:rsidRPr="007B7B8C" w:rsidRDefault="007B7B8C" w:rsidP="007B7B8C">
            <w:pPr>
              <w:spacing w:after="0" w:line="240" w:lineRule="auto"/>
              <w:jc w:val="right"/>
              <w:rPr>
                <w:rFonts w:ascii="Palatino Linotype" w:eastAsia="Times New Roman" w:hAnsi="Palatino Linotype" w:cs="Times New Roman"/>
                <w:b/>
                <w:bCs/>
                <w:lang w:eastAsia="fr-FR"/>
              </w:rPr>
            </w:pPr>
          </w:p>
        </w:tc>
      </w:tr>
      <w:tr w:rsidR="007B7B8C" w:rsidRPr="007B7B8C" w:rsidTr="00EB635C">
        <w:tc>
          <w:tcPr>
            <w:tcW w:w="6804" w:type="dxa"/>
            <w:tcBorders>
              <w:top w:val="single" w:sz="4" w:space="0" w:color="auto"/>
              <w:left w:val="single" w:sz="4" w:space="0" w:color="auto"/>
              <w:bottom w:val="single" w:sz="4" w:space="0" w:color="auto"/>
              <w:right w:val="single" w:sz="4" w:space="0" w:color="auto"/>
            </w:tcBorders>
            <w:hideMark/>
          </w:tcPr>
          <w:p w:rsidR="007B7B8C" w:rsidRPr="007B7B8C" w:rsidRDefault="007B7B8C" w:rsidP="007B7B8C">
            <w:pPr>
              <w:spacing w:after="0" w:line="240" w:lineRule="auto"/>
              <w:rPr>
                <w:rFonts w:ascii="Palatino Linotype" w:eastAsia="Times New Roman" w:hAnsi="Palatino Linotype" w:cs="Times New Roman"/>
                <w:bCs/>
                <w:lang w:eastAsia="fr-FR"/>
              </w:rPr>
            </w:pPr>
            <w:r w:rsidRPr="007B7B8C">
              <w:rPr>
                <w:rFonts w:ascii="Palatino Linotype" w:eastAsia="Times New Roman" w:hAnsi="Palatino Linotype" w:cs="Times New Roman"/>
                <w:bCs/>
                <w:lang w:eastAsia="fr-FR"/>
              </w:rPr>
              <w:t>Pompage regard comptage</w:t>
            </w:r>
          </w:p>
        </w:tc>
        <w:tc>
          <w:tcPr>
            <w:tcW w:w="1417" w:type="dxa"/>
            <w:tcBorders>
              <w:top w:val="single" w:sz="4" w:space="0" w:color="auto"/>
              <w:left w:val="single" w:sz="4" w:space="0" w:color="auto"/>
              <w:bottom w:val="single" w:sz="4" w:space="0" w:color="auto"/>
              <w:right w:val="single" w:sz="4" w:space="0" w:color="auto"/>
            </w:tcBorders>
          </w:tcPr>
          <w:p w:rsidR="007B7B8C" w:rsidRPr="007B7B8C" w:rsidRDefault="007B7B8C" w:rsidP="007B7B8C">
            <w:pPr>
              <w:spacing w:after="0" w:line="240" w:lineRule="auto"/>
              <w:jc w:val="right"/>
              <w:rPr>
                <w:rFonts w:ascii="Palatino Linotype" w:eastAsia="Times New Roman" w:hAnsi="Palatino Linotype" w:cs="Times New Roman"/>
                <w:b/>
                <w:bCs/>
                <w:lang w:eastAsia="fr-FR"/>
              </w:rPr>
            </w:pPr>
            <w:r w:rsidRPr="007B7B8C">
              <w:rPr>
                <w:rFonts w:ascii="Palatino Linotype" w:eastAsia="Times New Roman" w:hAnsi="Palatino Linotype" w:cs="Times New Roman"/>
                <w:b/>
                <w:bCs/>
                <w:lang w:eastAsia="fr-FR"/>
              </w:rPr>
              <w:t>35.00</w:t>
            </w:r>
          </w:p>
        </w:tc>
      </w:tr>
    </w:tbl>
    <w:p w:rsidR="00173F9B" w:rsidRDefault="00173F9B" w:rsidP="00173F9B">
      <w:pPr>
        <w:pStyle w:val="FreeForm"/>
        <w:jc w:val="both"/>
        <w:rPr>
          <w:rFonts w:ascii="Palatino Linotype" w:eastAsia="Lucida Grande" w:hAnsi="Palatino Linotype" w:cs="Arial"/>
          <w:sz w:val="22"/>
          <w:szCs w:val="22"/>
        </w:rPr>
      </w:pPr>
    </w:p>
    <w:p w:rsidR="00173F9B" w:rsidRDefault="00173F9B" w:rsidP="00173F9B">
      <w:pPr>
        <w:pStyle w:val="FreeForm"/>
        <w:jc w:val="both"/>
        <w:rPr>
          <w:rFonts w:ascii="Palatino Linotype" w:eastAsia="Lucida Grande" w:hAnsi="Palatino Linotype" w:cs="Arial"/>
          <w:sz w:val="22"/>
          <w:szCs w:val="22"/>
        </w:rPr>
      </w:pPr>
    </w:p>
    <w:p w:rsidR="007B7B8C" w:rsidRDefault="007B7B8C" w:rsidP="00173F9B">
      <w:pPr>
        <w:pStyle w:val="FreeForm"/>
        <w:jc w:val="both"/>
        <w:rPr>
          <w:rFonts w:ascii="Palatino Linotype" w:eastAsia="Lucida Grande" w:hAnsi="Palatino Linotype" w:cs="Arial"/>
          <w:sz w:val="22"/>
          <w:szCs w:val="22"/>
        </w:rPr>
      </w:pPr>
    </w:p>
    <w:p w:rsidR="007B7B8C" w:rsidRPr="00FF50A8" w:rsidRDefault="00364F9F" w:rsidP="00364F9F">
      <w:pPr>
        <w:pStyle w:val="Paragraphedeliste"/>
        <w:pBdr>
          <w:top w:val="single" w:sz="4" w:space="0" w:color="auto"/>
          <w:left w:val="single" w:sz="4" w:space="31" w:color="auto"/>
          <w:bottom w:val="single" w:sz="4" w:space="1" w:color="auto"/>
          <w:right w:val="single" w:sz="4" w:space="4" w:color="auto"/>
        </w:pBdr>
        <w:spacing w:after="0" w:line="240" w:lineRule="auto"/>
        <w:jc w:val="center"/>
        <w:rPr>
          <w:rFonts w:ascii="Palatino Linotype" w:hAnsi="Palatino Linotype"/>
          <w:b/>
          <w:sz w:val="24"/>
          <w:szCs w:val="24"/>
        </w:rPr>
      </w:pPr>
      <w:r>
        <w:rPr>
          <w:rFonts w:ascii="Palatino Linotype" w:hAnsi="Palatino Linotype"/>
          <w:b/>
          <w:sz w:val="24"/>
          <w:szCs w:val="24"/>
        </w:rPr>
        <w:t>DECISION MODIFICATIVE N°1 AU BUDGET PRIMITIF 2024</w:t>
      </w:r>
    </w:p>
    <w:p w:rsidR="00364F9F" w:rsidRDefault="00364F9F" w:rsidP="00364F9F">
      <w:pPr>
        <w:spacing w:after="0" w:line="240" w:lineRule="auto"/>
        <w:ind w:left="142"/>
        <w:jc w:val="both"/>
        <w:rPr>
          <w:rFonts w:ascii="Palatino Linotype" w:eastAsia="Times New Roman" w:hAnsi="Palatino Linotype" w:cs="Calibri"/>
          <w:b/>
          <w:i/>
          <w:color w:val="000000"/>
          <w:sz w:val="24"/>
          <w:szCs w:val="24"/>
          <w:u w:val="single"/>
          <w:lang w:eastAsia="fr-FR"/>
        </w:rPr>
      </w:pPr>
    </w:p>
    <w:p w:rsidR="00364F9F" w:rsidRDefault="00364F9F" w:rsidP="00445D6C">
      <w:pPr>
        <w:spacing w:after="0" w:line="240" w:lineRule="auto"/>
        <w:ind w:left="-142"/>
        <w:jc w:val="both"/>
        <w:rPr>
          <w:rFonts w:ascii="Palatino Linotype" w:eastAsia="Times New Roman" w:hAnsi="Palatino Linotype" w:cs="Calibri"/>
          <w:b/>
          <w:i/>
          <w:color w:val="000000"/>
          <w:sz w:val="24"/>
          <w:szCs w:val="24"/>
          <w:u w:val="single"/>
          <w:lang w:eastAsia="fr-FR"/>
        </w:rPr>
      </w:pPr>
      <w:r w:rsidRPr="00FF50A8">
        <w:rPr>
          <w:rFonts w:ascii="Palatino Linotype" w:eastAsia="Times New Roman" w:hAnsi="Palatino Linotype" w:cs="Calibri"/>
          <w:b/>
          <w:i/>
          <w:color w:val="000000"/>
          <w:sz w:val="24"/>
          <w:szCs w:val="24"/>
          <w:u w:val="single"/>
          <w:lang w:eastAsia="fr-FR"/>
        </w:rPr>
        <w:t>Délibération</w:t>
      </w:r>
    </w:p>
    <w:p w:rsidR="007B7B8C" w:rsidRDefault="007B7B8C" w:rsidP="00173F9B">
      <w:pPr>
        <w:pStyle w:val="FreeForm"/>
        <w:jc w:val="both"/>
        <w:rPr>
          <w:rFonts w:ascii="Palatino Linotype" w:eastAsia="Lucida Grande" w:hAnsi="Palatino Linotype" w:cs="Arial"/>
          <w:sz w:val="22"/>
          <w:szCs w:val="22"/>
        </w:rPr>
      </w:pPr>
    </w:p>
    <w:p w:rsidR="00364F9F" w:rsidRPr="00364F9F" w:rsidRDefault="00364F9F" w:rsidP="00364F9F">
      <w:pPr>
        <w:spacing w:line="254" w:lineRule="auto"/>
        <w:ind w:left="-142"/>
        <w:rPr>
          <w:rFonts w:ascii="Palatino Linotype" w:hAnsi="Palatino Linotype"/>
        </w:rPr>
      </w:pPr>
      <w:r w:rsidRPr="00364F9F">
        <w:rPr>
          <w:rFonts w:ascii="Palatino Linotype" w:hAnsi="Palatino Linotype"/>
        </w:rPr>
        <w:t>Les délégués, à l’unanimité, approuvent la décision modificative N°1 au Budget Primitif 2024, comme suit :</w:t>
      </w:r>
    </w:p>
    <w:tbl>
      <w:tblPr>
        <w:tblW w:w="9498" w:type="dxa"/>
        <w:tblInd w:w="-147" w:type="dxa"/>
        <w:tblCellMar>
          <w:left w:w="70" w:type="dxa"/>
          <w:right w:w="70" w:type="dxa"/>
        </w:tblCellMar>
        <w:tblLook w:val="04A0" w:firstRow="1" w:lastRow="0" w:firstColumn="1" w:lastColumn="0" w:noHBand="0" w:noVBand="1"/>
      </w:tblPr>
      <w:tblGrid>
        <w:gridCol w:w="3544"/>
        <w:gridCol w:w="1418"/>
        <w:gridCol w:w="1559"/>
        <w:gridCol w:w="1418"/>
        <w:gridCol w:w="1559"/>
      </w:tblGrid>
      <w:tr w:rsidR="00364F9F" w:rsidRPr="00364F9F" w:rsidTr="00A563A7">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
                <w:bCs/>
                <w:color w:val="000000"/>
                <w:sz w:val="18"/>
                <w:szCs w:val="18"/>
              </w:rPr>
            </w:pPr>
            <w:r w:rsidRPr="00364F9F">
              <w:rPr>
                <w:rFonts w:ascii="Palatino Linotype" w:eastAsia="Times New Roman" w:hAnsi="Palatino Linotype" w:cs="Calibri"/>
                <w:b/>
                <w:bCs/>
                <w:color w:val="000000"/>
                <w:sz w:val="18"/>
                <w:szCs w:val="18"/>
              </w:rPr>
              <w:t>SECTION DE FONCTIONNEMENT</w:t>
            </w:r>
          </w:p>
        </w:tc>
        <w:tc>
          <w:tcPr>
            <w:tcW w:w="2977" w:type="dxa"/>
            <w:gridSpan w:val="2"/>
            <w:tcBorders>
              <w:top w:val="single" w:sz="4" w:space="0" w:color="auto"/>
              <w:left w:val="nil"/>
              <w:bottom w:val="single" w:sz="4" w:space="0" w:color="auto"/>
              <w:right w:val="single" w:sz="4" w:space="0" w:color="auto"/>
            </w:tcBorders>
            <w:noWrap/>
            <w:vAlign w:val="center"/>
            <w:hideMark/>
          </w:tcPr>
          <w:p w:rsidR="00364F9F" w:rsidRPr="00364F9F" w:rsidRDefault="00364F9F" w:rsidP="00364F9F">
            <w:pPr>
              <w:spacing w:after="0" w:line="254" w:lineRule="auto"/>
              <w:jc w:val="center"/>
              <w:rPr>
                <w:rFonts w:ascii="Palatino Linotype" w:eastAsia="Times New Roman" w:hAnsi="Palatino Linotype" w:cs="Calibri"/>
                <w:b/>
                <w:bCs/>
                <w:sz w:val="20"/>
                <w:szCs w:val="20"/>
              </w:rPr>
            </w:pPr>
            <w:r w:rsidRPr="00364F9F">
              <w:rPr>
                <w:rFonts w:ascii="Palatino Linotype" w:eastAsia="Times New Roman" w:hAnsi="Palatino Linotype" w:cs="Calibri"/>
                <w:b/>
                <w:bCs/>
                <w:sz w:val="20"/>
                <w:szCs w:val="20"/>
              </w:rPr>
              <w:t>Dépenses</w:t>
            </w:r>
          </w:p>
        </w:tc>
        <w:tc>
          <w:tcPr>
            <w:tcW w:w="2977" w:type="dxa"/>
            <w:gridSpan w:val="2"/>
            <w:tcBorders>
              <w:top w:val="single" w:sz="4" w:space="0" w:color="auto"/>
              <w:left w:val="nil"/>
              <w:bottom w:val="single" w:sz="4" w:space="0" w:color="auto"/>
              <w:right w:val="single" w:sz="4" w:space="0" w:color="auto"/>
            </w:tcBorders>
            <w:noWrap/>
            <w:vAlign w:val="center"/>
            <w:hideMark/>
          </w:tcPr>
          <w:p w:rsidR="00364F9F" w:rsidRPr="00364F9F" w:rsidRDefault="00364F9F" w:rsidP="00364F9F">
            <w:pPr>
              <w:spacing w:after="0" w:line="254" w:lineRule="auto"/>
              <w:jc w:val="center"/>
              <w:rPr>
                <w:rFonts w:ascii="Palatino Linotype" w:eastAsia="Times New Roman" w:hAnsi="Palatino Linotype" w:cs="Calibri"/>
                <w:b/>
                <w:bCs/>
                <w:sz w:val="20"/>
                <w:szCs w:val="20"/>
              </w:rPr>
            </w:pPr>
            <w:r w:rsidRPr="00364F9F">
              <w:rPr>
                <w:rFonts w:ascii="Palatino Linotype" w:eastAsia="Times New Roman" w:hAnsi="Palatino Linotype" w:cs="Calibri"/>
                <w:b/>
                <w:bCs/>
                <w:sz w:val="20"/>
                <w:szCs w:val="20"/>
              </w:rPr>
              <w:t>Recettes</w:t>
            </w:r>
          </w:p>
        </w:tc>
      </w:tr>
      <w:tr w:rsidR="00364F9F" w:rsidRPr="00364F9F" w:rsidTr="00A563A7">
        <w:trPr>
          <w:trHeight w:val="369"/>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b/>
                <w:bCs/>
                <w:i/>
                <w:iCs/>
                <w:color w:val="000000"/>
                <w:sz w:val="18"/>
                <w:szCs w:val="18"/>
              </w:rPr>
            </w:pPr>
            <w:r w:rsidRPr="00364F9F">
              <w:rPr>
                <w:rFonts w:ascii="Palatino Linotype" w:eastAsia="Times New Roman" w:hAnsi="Palatino Linotype" w:cs="Calibri"/>
                <w:b/>
                <w:bCs/>
                <w:i/>
                <w:iCs/>
                <w:color w:val="000000"/>
                <w:sz w:val="18"/>
                <w:szCs w:val="18"/>
              </w:rPr>
              <w:t>Chapitre-Article-Désignation</w:t>
            </w:r>
          </w:p>
        </w:tc>
        <w:tc>
          <w:tcPr>
            <w:tcW w:w="1418"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center"/>
              <w:rPr>
                <w:rFonts w:ascii="Palatino Linotype" w:eastAsia="Times New Roman" w:hAnsi="Palatino Linotype" w:cs="Calibri"/>
                <w:color w:val="000000"/>
                <w:sz w:val="16"/>
                <w:szCs w:val="16"/>
              </w:rPr>
            </w:pPr>
            <w:r w:rsidRPr="00364F9F">
              <w:rPr>
                <w:rFonts w:ascii="Palatino Linotype" w:eastAsia="Times New Roman" w:hAnsi="Palatino Linotype" w:cs="Calibri"/>
                <w:color w:val="000000"/>
                <w:sz w:val="16"/>
                <w:szCs w:val="16"/>
              </w:rPr>
              <w:t>Diminution de crédits</w:t>
            </w:r>
          </w:p>
        </w:tc>
        <w:tc>
          <w:tcPr>
            <w:tcW w:w="1559"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center"/>
              <w:rPr>
                <w:rFonts w:ascii="Palatino Linotype" w:eastAsia="Times New Roman" w:hAnsi="Palatino Linotype" w:cs="Calibri"/>
                <w:color w:val="000000"/>
                <w:sz w:val="16"/>
                <w:szCs w:val="16"/>
              </w:rPr>
            </w:pPr>
            <w:r w:rsidRPr="00364F9F">
              <w:rPr>
                <w:rFonts w:ascii="Palatino Linotype" w:eastAsia="Times New Roman" w:hAnsi="Palatino Linotype" w:cs="Calibri"/>
                <w:color w:val="000000"/>
                <w:sz w:val="16"/>
                <w:szCs w:val="16"/>
              </w:rPr>
              <w:t>Augmentation de crédits</w:t>
            </w:r>
          </w:p>
        </w:tc>
        <w:tc>
          <w:tcPr>
            <w:tcW w:w="1418"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center"/>
              <w:rPr>
                <w:rFonts w:ascii="Palatino Linotype" w:eastAsia="Times New Roman" w:hAnsi="Palatino Linotype" w:cs="Calibri"/>
                <w:color w:val="000000"/>
                <w:sz w:val="16"/>
                <w:szCs w:val="16"/>
              </w:rPr>
            </w:pPr>
            <w:r w:rsidRPr="00364F9F">
              <w:rPr>
                <w:rFonts w:ascii="Palatino Linotype" w:eastAsia="Times New Roman" w:hAnsi="Palatino Linotype" w:cs="Calibri"/>
                <w:color w:val="000000"/>
                <w:sz w:val="16"/>
                <w:szCs w:val="16"/>
              </w:rPr>
              <w:t>Diminution de crédits</w:t>
            </w:r>
          </w:p>
        </w:tc>
        <w:tc>
          <w:tcPr>
            <w:tcW w:w="1559"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center"/>
              <w:rPr>
                <w:rFonts w:ascii="Palatino Linotype" w:eastAsia="Times New Roman" w:hAnsi="Palatino Linotype" w:cs="Calibri"/>
                <w:color w:val="000000"/>
                <w:sz w:val="16"/>
                <w:szCs w:val="16"/>
              </w:rPr>
            </w:pPr>
            <w:r w:rsidRPr="00364F9F">
              <w:rPr>
                <w:rFonts w:ascii="Palatino Linotype" w:eastAsia="Times New Roman" w:hAnsi="Palatino Linotype" w:cs="Calibri"/>
                <w:color w:val="000000"/>
                <w:sz w:val="16"/>
                <w:szCs w:val="16"/>
              </w:rPr>
              <w:t>Augmentation de crédits</w:t>
            </w:r>
          </w:p>
        </w:tc>
      </w:tr>
      <w:tr w:rsidR="00364F9F" w:rsidRPr="00364F9F" w:rsidTr="00A563A7">
        <w:trPr>
          <w:trHeight w:val="300"/>
        </w:trPr>
        <w:tc>
          <w:tcPr>
            <w:tcW w:w="9498" w:type="dxa"/>
            <w:gridSpan w:val="5"/>
            <w:tcBorders>
              <w:top w:val="single" w:sz="4" w:space="0" w:color="auto"/>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
                <w:color w:val="000000"/>
                <w:sz w:val="18"/>
                <w:szCs w:val="18"/>
                <w:u w:val="single"/>
              </w:rPr>
            </w:pPr>
            <w:r w:rsidRPr="00364F9F">
              <w:rPr>
                <w:rFonts w:ascii="Palatino Linotype" w:eastAsia="Times New Roman" w:hAnsi="Palatino Linotype" w:cs="Calibri"/>
                <w:b/>
                <w:color w:val="000000"/>
                <w:sz w:val="18"/>
                <w:szCs w:val="18"/>
                <w:u w:val="single"/>
              </w:rPr>
              <w:t>011 – Charges à caractère général</w:t>
            </w: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6551 – Entretien réparation matériel roulant</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
                <w:bCs/>
                <w:color w:val="FF0000"/>
                <w:sz w:val="18"/>
                <w:szCs w:val="18"/>
              </w:rPr>
              <w:t xml:space="preserve">                    </w:t>
            </w:r>
            <w:r w:rsidRPr="00364F9F">
              <w:rPr>
                <w:rFonts w:ascii="Palatino Linotype" w:eastAsia="Times New Roman" w:hAnsi="Palatino Linotype" w:cs="Calibri"/>
                <w:bCs/>
                <w:sz w:val="18"/>
                <w:szCs w:val="18"/>
              </w:rPr>
              <w:t>2 800,-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61558 – Entretien autres biens mobiliers</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100,-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6226 – Honoraires</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500,-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6251 – Voyages et déplacements</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120,-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6261 – Frais d’affranchissement</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100,-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6354 – Droits d’enregistrement</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400,-</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605 – Achat d’eau</w:t>
            </w:r>
          </w:p>
        </w:tc>
        <w:tc>
          <w:tcPr>
            <w:tcW w:w="1418"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 xml:space="preserve">                4 020,-</w:t>
            </w: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rPr>
                <w:rFonts w:ascii="Palatino Linotype" w:eastAsia="Times New Roman" w:hAnsi="Palatino Linotype" w:cs="Calibri"/>
                <w:bCs/>
                <w:color w:val="000000"/>
                <w:sz w:val="18"/>
                <w:szCs w:val="18"/>
              </w:rPr>
            </w:pP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tcPr>
          <w:p w:rsidR="00364F9F" w:rsidRPr="00364F9F" w:rsidRDefault="00364F9F" w:rsidP="00364F9F">
            <w:pPr>
              <w:spacing w:after="0" w:line="254" w:lineRule="auto"/>
              <w:rPr>
                <w:rFonts w:ascii="Palatino Linotype" w:eastAsia="Times New Roman" w:hAnsi="Palatino Linotype" w:cs="Calibri"/>
                <w:color w:val="000000"/>
                <w:sz w:val="18"/>
                <w:szCs w:val="18"/>
              </w:rPr>
            </w:pP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Cs/>
                <w:color w:val="000000"/>
                <w:sz w:val="18"/>
                <w:szCs w:val="18"/>
              </w:rPr>
            </w:pP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b/>
                <w:color w:val="000000"/>
                <w:sz w:val="18"/>
                <w:szCs w:val="18"/>
                <w:u w:val="single"/>
              </w:rPr>
            </w:pPr>
            <w:r w:rsidRPr="00364F9F">
              <w:rPr>
                <w:rFonts w:ascii="Palatino Linotype" w:eastAsia="Times New Roman" w:hAnsi="Palatino Linotype" w:cs="Calibri"/>
                <w:b/>
                <w:color w:val="000000"/>
                <w:sz w:val="18"/>
                <w:szCs w:val="18"/>
                <w:u w:val="single"/>
              </w:rPr>
              <w:t>66 – Charges financières</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highlight w:val="green"/>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rPr>
                <w:rFonts w:ascii="Palatino Linotype" w:eastAsia="Times New Roman" w:hAnsi="Palatino Linotype" w:cs="Calibri"/>
                <w:bCs/>
                <w:color w:val="000000"/>
                <w:sz w:val="18"/>
                <w:szCs w:val="18"/>
              </w:rPr>
            </w:pP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bottom"/>
            <w:hideMark/>
          </w:tcPr>
          <w:p w:rsidR="00364F9F" w:rsidRPr="00364F9F" w:rsidRDefault="00364F9F" w:rsidP="00364F9F">
            <w:pPr>
              <w:spacing w:after="0" w:line="254" w:lineRule="auto"/>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6615 – Intérêts comptes courants et dépôts créditeurs</w:t>
            </w:r>
          </w:p>
        </w:tc>
        <w:tc>
          <w:tcPr>
            <w:tcW w:w="1418" w:type="dxa"/>
            <w:tcBorders>
              <w:top w:val="nil"/>
              <w:left w:val="nil"/>
              <w:bottom w:val="single" w:sz="4" w:space="0" w:color="auto"/>
              <w:right w:val="single" w:sz="4" w:space="0" w:color="auto"/>
            </w:tcBorders>
            <w:vAlign w:val="center"/>
          </w:tcPr>
          <w:p w:rsidR="00364F9F" w:rsidRPr="00364F9F" w:rsidRDefault="00364F9F" w:rsidP="00364F9F">
            <w:pPr>
              <w:spacing w:after="0" w:line="254" w:lineRule="auto"/>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bCs/>
                <w:color w:val="000000"/>
                <w:sz w:val="18"/>
                <w:szCs w:val="18"/>
                <w:highlight w:val="yellow"/>
              </w:rPr>
            </w:pPr>
            <w:r w:rsidRPr="00364F9F">
              <w:rPr>
                <w:rFonts w:ascii="Palatino Linotype" w:eastAsia="Times New Roman" w:hAnsi="Palatino Linotype" w:cs="Calibri"/>
                <w:bCs/>
                <w:color w:val="000000"/>
                <w:sz w:val="18"/>
                <w:szCs w:val="18"/>
              </w:rPr>
              <w:t xml:space="preserve">                   1 500,-</w:t>
            </w:r>
          </w:p>
        </w:tc>
        <w:tc>
          <w:tcPr>
            <w:tcW w:w="1418"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 </w:t>
            </w:r>
          </w:p>
        </w:tc>
        <w:tc>
          <w:tcPr>
            <w:tcW w:w="1559" w:type="dxa"/>
            <w:tcBorders>
              <w:top w:val="nil"/>
              <w:left w:val="nil"/>
              <w:bottom w:val="single" w:sz="4" w:space="0" w:color="auto"/>
              <w:right w:val="single" w:sz="4" w:space="0" w:color="auto"/>
            </w:tcBorders>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 </w:t>
            </w: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b/>
                <w:color w:val="000000"/>
                <w:sz w:val="18"/>
                <w:szCs w:val="18"/>
                <w:u w:val="single"/>
              </w:rPr>
            </w:pPr>
            <w:r w:rsidRPr="00364F9F">
              <w:rPr>
                <w:rFonts w:ascii="Palatino Linotype" w:eastAsia="Times New Roman" w:hAnsi="Palatino Linotype" w:cs="Calibri"/>
                <w:b/>
                <w:color w:val="000000"/>
                <w:sz w:val="18"/>
                <w:szCs w:val="18"/>
                <w:u w:val="single"/>
              </w:rPr>
              <w:t>012 – Charges de personnel et frais assimilés</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center"/>
              <w:rPr>
                <w:rFonts w:ascii="Palatino Linotype" w:eastAsia="Times New Roman" w:hAnsi="Palatino Linotype" w:cs="Calibri"/>
                <w:bCs/>
                <w:color w:val="000000"/>
                <w:sz w:val="18"/>
                <w:szCs w:val="18"/>
                <w:highlight w:val="yellow"/>
              </w:rPr>
            </w:pP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6218 – Autre personnel extérieur</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1 340,-</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b/>
                <w:color w:val="000000"/>
                <w:sz w:val="18"/>
                <w:szCs w:val="18"/>
                <w:u w:val="single"/>
              </w:rPr>
            </w:pPr>
            <w:r w:rsidRPr="00364F9F">
              <w:rPr>
                <w:rFonts w:ascii="Palatino Linotype" w:eastAsia="Times New Roman" w:hAnsi="Palatino Linotype" w:cs="Calibri"/>
                <w:b/>
                <w:color w:val="000000"/>
                <w:sz w:val="18"/>
                <w:szCs w:val="18"/>
                <w:u w:val="single"/>
              </w:rPr>
              <w:t>64 –  Charges de personnel</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rPr>
                <w:rFonts w:ascii="Palatino Linotype" w:eastAsia="Times New Roman" w:hAnsi="Palatino Linotype" w:cs="Calibri"/>
                <w:bCs/>
                <w:color w:val="000000"/>
                <w:sz w:val="18"/>
                <w:szCs w:val="18"/>
              </w:rPr>
            </w:pP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6451 – Cotisations à l’URSSAF</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230,-</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noWrap/>
            <w:vAlign w:val="center"/>
            <w:hideMark/>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r w:rsidRPr="00364F9F">
              <w:rPr>
                <w:rFonts w:ascii="Palatino Linotype" w:eastAsia="Times New Roman" w:hAnsi="Palatino Linotype" w:cs="Calibri"/>
                <w:color w:val="000000"/>
                <w:sz w:val="18"/>
                <w:szCs w:val="18"/>
              </w:rPr>
              <w:t>6478 – Autres charges sociales diverses</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                       50,-</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vAlign w:val="center"/>
            <w:hideMark/>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r w:rsidRPr="00364F9F">
              <w:rPr>
                <w:rFonts w:ascii="Palatino Linotype" w:eastAsia="Times New Roman" w:hAnsi="Palatino Linotype" w:cs="Calibri"/>
                <w:b/>
                <w:bCs/>
                <w:color w:val="000000"/>
                <w:sz w:val="18"/>
                <w:szCs w:val="18"/>
              </w:rPr>
              <w:t>6411 – Salaires, appointements</w:t>
            </w:r>
          </w:p>
        </w:tc>
        <w:tc>
          <w:tcPr>
            <w:tcW w:w="1418"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jc w:val="right"/>
              <w:rPr>
                <w:rFonts w:ascii="Palatino Linotype" w:eastAsia="Times New Roman" w:hAnsi="Palatino Linotype" w:cs="Calibri"/>
                <w:bCs/>
                <w:color w:val="000000"/>
                <w:sz w:val="18"/>
                <w:szCs w:val="18"/>
              </w:rPr>
            </w:pPr>
            <w:r w:rsidRPr="00364F9F">
              <w:rPr>
                <w:rFonts w:ascii="Palatino Linotype" w:eastAsia="Times New Roman" w:hAnsi="Palatino Linotype" w:cs="Calibri"/>
                <w:bCs/>
                <w:color w:val="000000"/>
                <w:sz w:val="18"/>
                <w:szCs w:val="18"/>
              </w:rPr>
              <w:t xml:space="preserve">3 120,- </w:t>
            </w: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bCs/>
                <w:color w:val="000000"/>
                <w:sz w:val="18"/>
                <w:szCs w:val="18"/>
              </w:rPr>
            </w:pPr>
          </w:p>
        </w:tc>
      </w:tr>
      <w:tr w:rsidR="00364F9F" w:rsidRPr="00364F9F" w:rsidTr="00A563A7">
        <w:trPr>
          <w:trHeight w:val="300"/>
        </w:trPr>
        <w:tc>
          <w:tcPr>
            <w:tcW w:w="3544" w:type="dxa"/>
            <w:tcBorders>
              <w:top w:val="nil"/>
              <w:left w:val="single" w:sz="4" w:space="0" w:color="auto"/>
              <w:bottom w:val="single" w:sz="4" w:space="0" w:color="auto"/>
              <w:right w:val="single" w:sz="4" w:space="0" w:color="auto"/>
            </w:tcBorders>
            <w:vAlign w:val="center"/>
          </w:tcPr>
          <w:p w:rsidR="00364F9F" w:rsidRPr="00364F9F" w:rsidRDefault="00364F9F" w:rsidP="00364F9F">
            <w:pPr>
              <w:spacing w:after="0" w:line="254" w:lineRule="auto"/>
              <w:jc w:val="both"/>
              <w:rPr>
                <w:rFonts w:ascii="Palatino Linotype" w:eastAsia="Times New Roman" w:hAnsi="Palatino Linotype" w:cs="Calibri"/>
                <w:b/>
                <w:bCs/>
                <w:color w:val="000000"/>
                <w:sz w:val="18"/>
                <w:szCs w:val="18"/>
              </w:rPr>
            </w:pPr>
          </w:p>
        </w:tc>
        <w:tc>
          <w:tcPr>
            <w:tcW w:w="1418"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r w:rsidRPr="00364F9F">
              <w:rPr>
                <w:rFonts w:ascii="Palatino Linotype" w:eastAsia="Times New Roman" w:hAnsi="Palatino Linotype" w:cs="Calibri"/>
                <w:b/>
                <w:bCs/>
                <w:color w:val="000000"/>
                <w:sz w:val="18"/>
                <w:szCs w:val="18"/>
              </w:rPr>
              <w:t>7 140,-</w:t>
            </w:r>
          </w:p>
        </w:tc>
        <w:tc>
          <w:tcPr>
            <w:tcW w:w="1559" w:type="dxa"/>
            <w:tcBorders>
              <w:top w:val="nil"/>
              <w:left w:val="nil"/>
              <w:bottom w:val="single" w:sz="4" w:space="0" w:color="auto"/>
              <w:right w:val="single" w:sz="4" w:space="0" w:color="auto"/>
            </w:tcBorders>
            <w:noWrap/>
            <w:vAlign w:val="center"/>
            <w:hideMark/>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r w:rsidRPr="00364F9F">
              <w:rPr>
                <w:rFonts w:ascii="Palatino Linotype" w:eastAsia="Times New Roman" w:hAnsi="Palatino Linotype" w:cs="Calibri"/>
                <w:b/>
                <w:bCs/>
                <w:color w:val="000000"/>
                <w:sz w:val="18"/>
                <w:szCs w:val="18"/>
              </w:rPr>
              <w:t xml:space="preserve">7 140,- </w:t>
            </w:r>
          </w:p>
        </w:tc>
        <w:tc>
          <w:tcPr>
            <w:tcW w:w="1418"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p>
        </w:tc>
        <w:tc>
          <w:tcPr>
            <w:tcW w:w="1559" w:type="dxa"/>
            <w:tcBorders>
              <w:top w:val="nil"/>
              <w:left w:val="nil"/>
              <w:bottom w:val="single" w:sz="4" w:space="0" w:color="auto"/>
              <w:right w:val="single" w:sz="4" w:space="0" w:color="auto"/>
            </w:tcBorders>
            <w:noWrap/>
            <w:vAlign w:val="center"/>
          </w:tcPr>
          <w:p w:rsidR="00364F9F" w:rsidRPr="00364F9F" w:rsidRDefault="00364F9F" w:rsidP="00364F9F">
            <w:pPr>
              <w:spacing w:after="0" w:line="254" w:lineRule="auto"/>
              <w:jc w:val="right"/>
              <w:rPr>
                <w:rFonts w:ascii="Palatino Linotype" w:eastAsia="Times New Roman" w:hAnsi="Palatino Linotype" w:cs="Calibri"/>
                <w:b/>
                <w:bCs/>
                <w:color w:val="000000"/>
                <w:sz w:val="18"/>
                <w:szCs w:val="18"/>
              </w:rPr>
            </w:pPr>
          </w:p>
        </w:tc>
      </w:tr>
    </w:tbl>
    <w:p w:rsidR="00364F9F" w:rsidRDefault="00364F9F" w:rsidP="00173F9B">
      <w:pPr>
        <w:pStyle w:val="FreeForm"/>
        <w:jc w:val="both"/>
        <w:rPr>
          <w:rFonts w:ascii="Palatino Linotype" w:eastAsia="Lucida Grande" w:hAnsi="Palatino Linotype" w:cs="Arial"/>
          <w:sz w:val="22"/>
          <w:szCs w:val="22"/>
        </w:rPr>
      </w:pPr>
    </w:p>
    <w:p w:rsidR="00364F9F" w:rsidRDefault="00364F9F" w:rsidP="00173F9B">
      <w:pPr>
        <w:pStyle w:val="FreeForm"/>
        <w:jc w:val="both"/>
        <w:rPr>
          <w:rFonts w:ascii="Palatino Linotype" w:eastAsia="Lucida Grande" w:hAnsi="Palatino Linotype" w:cs="Arial"/>
          <w:sz w:val="22"/>
          <w:szCs w:val="22"/>
        </w:rPr>
      </w:pPr>
    </w:p>
    <w:p w:rsidR="00364F9F" w:rsidRPr="003F31DD" w:rsidRDefault="00364F9F" w:rsidP="00364F9F">
      <w:pPr>
        <w:pStyle w:val="Paragraphedeliste"/>
        <w:pBdr>
          <w:top w:val="single" w:sz="4" w:space="1" w:color="auto"/>
          <w:left w:val="single" w:sz="4" w:space="31" w:color="auto"/>
          <w:bottom w:val="single" w:sz="4" w:space="1" w:color="auto"/>
          <w:right w:val="single" w:sz="4" w:space="4" w:color="auto"/>
        </w:pBdr>
        <w:tabs>
          <w:tab w:val="left" w:pos="7088"/>
        </w:tabs>
        <w:ind w:left="567"/>
        <w:jc w:val="center"/>
        <w:rPr>
          <w:rFonts w:ascii="Palatino Linotype" w:hAnsi="Palatino Linotype" w:cs="Calibri"/>
          <w:b/>
          <w:color w:val="000000"/>
          <w:sz w:val="24"/>
          <w:szCs w:val="24"/>
        </w:rPr>
      </w:pPr>
      <w:r>
        <w:rPr>
          <w:rFonts w:ascii="Palatino Linotype" w:hAnsi="Palatino Linotype" w:cs="Calibri"/>
          <w:b/>
          <w:color w:val="000000"/>
          <w:sz w:val="24"/>
          <w:szCs w:val="24"/>
        </w:rPr>
        <w:t>OUVERTURE DE CREDITS – DISPOSITIONS APPLICABLES AVANT LE VOTE DU BUDGET PRIMITIF 2025</w:t>
      </w:r>
    </w:p>
    <w:p w:rsidR="00364F9F" w:rsidRPr="00364F9F" w:rsidRDefault="00364F9F" w:rsidP="00364F9F">
      <w:pPr>
        <w:spacing w:after="0" w:line="240" w:lineRule="auto"/>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Monsieur le Président propose au Conseil Syndical, avant le vote du budget 2025, au titre du nouvel exercice et en vertu de l’article L. 1612-1 du Code Général des Collectivités Territoriales : </w:t>
      </w:r>
    </w:p>
    <w:p w:rsidR="00364F9F" w:rsidRPr="00364F9F" w:rsidRDefault="00364F9F" w:rsidP="00364F9F">
      <w:pPr>
        <w:spacing w:after="0" w:line="240" w:lineRule="auto"/>
        <w:jc w:val="both"/>
        <w:rPr>
          <w:rFonts w:ascii="Palatino Linotype" w:eastAsia="Times New Roman" w:hAnsi="Palatino Linotype" w:cs="Times New Roman"/>
          <w:sz w:val="16"/>
          <w:szCs w:val="16"/>
          <w:lang w:eastAsia="fr-FR"/>
        </w:rPr>
      </w:pPr>
    </w:p>
    <w:p w:rsidR="00364F9F" w:rsidRPr="00364F9F" w:rsidRDefault="00364F9F" w:rsidP="00364F9F">
      <w:pPr>
        <w:numPr>
          <w:ilvl w:val="0"/>
          <w:numId w:val="10"/>
        </w:numPr>
        <w:spacing w:after="0" w:line="240" w:lineRule="auto"/>
        <w:jc w:val="both"/>
        <w:rPr>
          <w:rFonts w:ascii="Palatino Linotype" w:eastAsia="Times New Roman" w:hAnsi="Palatino Linotype" w:cs="Times New Roman"/>
          <w:lang w:eastAsia="fr-FR"/>
        </w:rPr>
      </w:pPr>
      <w:proofErr w:type="gramStart"/>
      <w:r w:rsidRPr="00364F9F">
        <w:rPr>
          <w:rFonts w:ascii="Palatino Linotype" w:eastAsia="Times New Roman" w:hAnsi="Palatino Linotype" w:cs="Times New Roman"/>
          <w:lang w:eastAsia="fr-FR"/>
        </w:rPr>
        <w:t>d’ouvrir</w:t>
      </w:r>
      <w:proofErr w:type="gramEnd"/>
      <w:r w:rsidRPr="00364F9F">
        <w:rPr>
          <w:rFonts w:ascii="Palatino Linotype" w:eastAsia="Times New Roman" w:hAnsi="Palatino Linotype" w:cs="Times New Roman"/>
          <w:lang w:eastAsia="fr-FR"/>
        </w:rPr>
        <w:t xml:space="preserve"> en section de fonctionnement, les crédits à concurrence du montant attribué pour l’ensemble de l’année précédente,</w:t>
      </w: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p>
    <w:p w:rsidR="00364F9F" w:rsidRPr="00364F9F" w:rsidRDefault="00364F9F" w:rsidP="00364F9F">
      <w:pPr>
        <w:numPr>
          <w:ilvl w:val="0"/>
          <w:numId w:val="10"/>
        </w:numPr>
        <w:spacing w:after="0" w:line="240" w:lineRule="auto"/>
        <w:jc w:val="both"/>
        <w:rPr>
          <w:rFonts w:ascii="Palatino Linotype" w:eastAsia="Times New Roman" w:hAnsi="Palatino Linotype" w:cs="Times New Roman"/>
          <w:lang w:eastAsia="fr-FR"/>
        </w:rPr>
      </w:pPr>
      <w:proofErr w:type="gramStart"/>
      <w:r w:rsidRPr="00364F9F">
        <w:rPr>
          <w:rFonts w:ascii="Palatino Linotype" w:eastAsia="Times New Roman" w:hAnsi="Palatino Linotype" w:cs="Times New Roman"/>
          <w:lang w:eastAsia="fr-FR"/>
        </w:rPr>
        <w:t>d’autoriser</w:t>
      </w:r>
      <w:proofErr w:type="gramEnd"/>
      <w:r w:rsidRPr="00364F9F">
        <w:rPr>
          <w:rFonts w:ascii="Palatino Linotype" w:eastAsia="Times New Roman" w:hAnsi="Palatino Linotype" w:cs="Times New Roman"/>
          <w:lang w:eastAsia="fr-FR"/>
        </w:rPr>
        <w:t xml:space="preserve"> avant le vote du budget primitif 2025, l’engagement, la liquidation et le mandatement des dépenses d’investissement correspondant à un maximum de 25 % des crédits attribués sur l’exercice 2024, à savoir :</w:t>
      </w:r>
    </w:p>
    <w:p w:rsidR="00364F9F" w:rsidRPr="00364F9F" w:rsidRDefault="00364F9F" w:rsidP="00364F9F">
      <w:pPr>
        <w:spacing w:after="0" w:line="240" w:lineRule="auto"/>
        <w:jc w:val="both"/>
        <w:rPr>
          <w:rFonts w:ascii="Palatino Linotype" w:eastAsia="Times New Roman" w:hAnsi="Palatino Linotype" w:cs="Times New Roman"/>
          <w:sz w:val="12"/>
          <w:szCs w:val="12"/>
          <w:lang w:eastAsia="fr-FR"/>
        </w:rPr>
      </w:pPr>
    </w:p>
    <w:p w:rsidR="00364F9F" w:rsidRPr="00364F9F" w:rsidRDefault="00364F9F" w:rsidP="00364F9F">
      <w:pPr>
        <w:spacing w:after="0" w:line="240" w:lineRule="auto"/>
        <w:ind w:left="720"/>
        <w:jc w:val="both"/>
        <w:rPr>
          <w:rFonts w:ascii="Palatino Linotype" w:eastAsia="Times New Roman" w:hAnsi="Palatino Linotype" w:cs="Times New Roman"/>
          <w:b/>
          <w:u w:val="single"/>
          <w:lang w:eastAsia="fr-FR"/>
        </w:rPr>
      </w:pPr>
      <w:r w:rsidRPr="00364F9F">
        <w:rPr>
          <w:rFonts w:ascii="Palatino Linotype" w:eastAsia="Times New Roman" w:hAnsi="Palatino Linotype" w:cs="Times New Roman"/>
          <w:b/>
          <w:u w:val="single"/>
          <w:lang w:eastAsia="fr-FR"/>
        </w:rPr>
        <w:t>Chapitre 21</w:t>
      </w:r>
    </w:p>
    <w:p w:rsidR="00364F9F" w:rsidRPr="00364F9F" w:rsidRDefault="00364F9F" w:rsidP="00364F9F">
      <w:pPr>
        <w:spacing w:after="0" w:line="240" w:lineRule="auto"/>
        <w:ind w:left="720"/>
        <w:jc w:val="both"/>
        <w:rPr>
          <w:rFonts w:ascii="Palatino Linotype" w:eastAsia="Times New Roman" w:hAnsi="Palatino Linotype" w:cs="Times New Roman"/>
          <w:b/>
          <w:sz w:val="12"/>
          <w:szCs w:val="12"/>
          <w:u w:val="single"/>
          <w:lang w:eastAsia="fr-FR"/>
        </w:rPr>
      </w:pP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 </w:t>
      </w:r>
      <w:r w:rsidRPr="00364F9F">
        <w:rPr>
          <w:rFonts w:ascii="Palatino Linotype" w:eastAsia="Times New Roman" w:hAnsi="Palatino Linotype" w:cs="Times New Roman"/>
          <w:u w:val="single"/>
          <w:lang w:eastAsia="fr-FR"/>
        </w:rPr>
        <w:t>Article 21531</w:t>
      </w:r>
      <w:r w:rsidRPr="00364F9F">
        <w:rPr>
          <w:rFonts w:ascii="Palatino Linotype" w:eastAsia="Times New Roman" w:hAnsi="Palatino Linotype" w:cs="Times New Roman"/>
          <w:lang w:eastAsia="fr-FR"/>
        </w:rPr>
        <w:t> : 150 177.28 € X 25 % = 37 544.32 €</w:t>
      </w: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 </w:t>
      </w:r>
      <w:r w:rsidRPr="00364F9F">
        <w:rPr>
          <w:rFonts w:ascii="Palatino Linotype" w:eastAsia="Times New Roman" w:hAnsi="Palatino Linotype" w:cs="Times New Roman"/>
          <w:u w:val="single"/>
          <w:lang w:eastAsia="fr-FR"/>
        </w:rPr>
        <w:t>Article 2154</w:t>
      </w:r>
      <w:r w:rsidRPr="00364F9F">
        <w:rPr>
          <w:rFonts w:ascii="Palatino Linotype" w:eastAsia="Times New Roman" w:hAnsi="Palatino Linotype" w:cs="Times New Roman"/>
          <w:lang w:eastAsia="fr-FR"/>
        </w:rPr>
        <w:t> : 1 200 € X 25 % = 300 €</w:t>
      </w: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 </w:t>
      </w:r>
      <w:r w:rsidRPr="00364F9F">
        <w:rPr>
          <w:rFonts w:ascii="Palatino Linotype" w:eastAsia="Times New Roman" w:hAnsi="Palatino Linotype" w:cs="Times New Roman"/>
          <w:u w:val="single"/>
          <w:lang w:eastAsia="fr-FR"/>
        </w:rPr>
        <w:t>Article 21561</w:t>
      </w:r>
      <w:r w:rsidRPr="00364F9F">
        <w:rPr>
          <w:rFonts w:ascii="Palatino Linotype" w:eastAsia="Times New Roman" w:hAnsi="Palatino Linotype" w:cs="Times New Roman"/>
          <w:lang w:eastAsia="fr-FR"/>
        </w:rPr>
        <w:t> : 15 000 € X 25 % = 3 750 €</w:t>
      </w: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lastRenderedPageBreak/>
        <w:t xml:space="preserve">- </w:t>
      </w:r>
      <w:r w:rsidRPr="00364F9F">
        <w:rPr>
          <w:rFonts w:ascii="Palatino Linotype" w:eastAsia="Times New Roman" w:hAnsi="Palatino Linotype" w:cs="Times New Roman"/>
          <w:u w:val="single"/>
          <w:lang w:eastAsia="fr-FR"/>
        </w:rPr>
        <w:t>Article 2182</w:t>
      </w:r>
      <w:r w:rsidRPr="00364F9F">
        <w:rPr>
          <w:rFonts w:ascii="Palatino Linotype" w:eastAsia="Times New Roman" w:hAnsi="Palatino Linotype" w:cs="Times New Roman"/>
          <w:lang w:eastAsia="fr-FR"/>
        </w:rPr>
        <w:t> : 24 010 € X 25 % = 6 002.50 €</w:t>
      </w: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 </w:t>
      </w:r>
      <w:r w:rsidRPr="00364F9F">
        <w:rPr>
          <w:rFonts w:ascii="Palatino Linotype" w:eastAsia="Times New Roman" w:hAnsi="Palatino Linotype" w:cs="Times New Roman"/>
          <w:u w:val="single"/>
          <w:lang w:eastAsia="fr-FR"/>
        </w:rPr>
        <w:t>Article 2183</w:t>
      </w:r>
      <w:r w:rsidRPr="00364F9F">
        <w:rPr>
          <w:rFonts w:ascii="Palatino Linotype" w:eastAsia="Times New Roman" w:hAnsi="Palatino Linotype" w:cs="Times New Roman"/>
          <w:lang w:eastAsia="fr-FR"/>
        </w:rPr>
        <w:t> : 2 800 € X 25 % = 700 €</w:t>
      </w:r>
    </w:p>
    <w:p w:rsidR="00364F9F" w:rsidRPr="00364F9F" w:rsidRDefault="00364F9F" w:rsidP="00364F9F">
      <w:pPr>
        <w:spacing w:after="0" w:line="240" w:lineRule="auto"/>
        <w:ind w:left="720"/>
        <w:jc w:val="both"/>
        <w:rPr>
          <w:rFonts w:ascii="Palatino Linotype" w:eastAsia="Times New Roman" w:hAnsi="Palatino Linotype" w:cs="Times New Roman"/>
          <w:sz w:val="16"/>
          <w:szCs w:val="16"/>
          <w:lang w:eastAsia="fr-FR"/>
        </w:rPr>
      </w:pPr>
    </w:p>
    <w:p w:rsidR="00364F9F" w:rsidRPr="00364F9F" w:rsidRDefault="00364F9F" w:rsidP="00364F9F">
      <w:pPr>
        <w:spacing w:after="0" w:line="240" w:lineRule="auto"/>
        <w:ind w:left="720"/>
        <w:jc w:val="both"/>
        <w:rPr>
          <w:rFonts w:ascii="Palatino Linotype" w:eastAsia="Times New Roman" w:hAnsi="Palatino Linotype" w:cs="Times New Roman"/>
          <w:b/>
          <w:u w:val="single"/>
          <w:lang w:eastAsia="fr-FR"/>
        </w:rPr>
      </w:pPr>
      <w:r w:rsidRPr="00364F9F">
        <w:rPr>
          <w:rFonts w:ascii="Palatino Linotype" w:eastAsia="Times New Roman" w:hAnsi="Palatino Linotype" w:cs="Times New Roman"/>
          <w:b/>
          <w:u w:val="single"/>
          <w:lang w:eastAsia="fr-FR"/>
        </w:rPr>
        <w:t>Chapitre 23</w:t>
      </w:r>
    </w:p>
    <w:p w:rsidR="00364F9F" w:rsidRPr="00364F9F" w:rsidRDefault="00364F9F" w:rsidP="00364F9F">
      <w:pPr>
        <w:spacing w:after="0" w:line="240" w:lineRule="auto"/>
        <w:ind w:left="720"/>
        <w:jc w:val="both"/>
        <w:rPr>
          <w:rFonts w:ascii="Palatino Linotype" w:eastAsia="Times New Roman" w:hAnsi="Palatino Linotype" w:cs="Times New Roman"/>
          <w:b/>
          <w:sz w:val="12"/>
          <w:szCs w:val="12"/>
          <w:u w:val="single"/>
          <w:lang w:eastAsia="fr-FR"/>
        </w:rPr>
      </w:pPr>
    </w:p>
    <w:p w:rsidR="00364F9F" w:rsidRPr="00364F9F" w:rsidRDefault="00364F9F" w:rsidP="00364F9F">
      <w:pPr>
        <w:spacing w:after="0" w:line="240" w:lineRule="auto"/>
        <w:ind w:left="720"/>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 xml:space="preserve">- </w:t>
      </w:r>
      <w:r w:rsidRPr="00364F9F">
        <w:rPr>
          <w:rFonts w:ascii="Palatino Linotype" w:eastAsia="Times New Roman" w:hAnsi="Palatino Linotype" w:cs="Times New Roman"/>
          <w:u w:val="single"/>
          <w:lang w:eastAsia="fr-FR"/>
        </w:rPr>
        <w:t>Article 2315</w:t>
      </w:r>
      <w:r w:rsidRPr="00364F9F">
        <w:rPr>
          <w:rFonts w:ascii="Palatino Linotype" w:eastAsia="Times New Roman" w:hAnsi="Palatino Linotype" w:cs="Times New Roman"/>
          <w:lang w:eastAsia="fr-FR"/>
        </w:rPr>
        <w:t xml:space="preserve"> – Opération 10 : 460 000 € X 25 % soit 115 000 €</w:t>
      </w:r>
    </w:p>
    <w:p w:rsidR="00364F9F" w:rsidRPr="00364F9F" w:rsidRDefault="00364F9F" w:rsidP="00364F9F">
      <w:pPr>
        <w:spacing w:after="0" w:line="240" w:lineRule="auto"/>
        <w:jc w:val="both"/>
        <w:rPr>
          <w:rFonts w:ascii="Palatino Linotype" w:eastAsia="Times New Roman" w:hAnsi="Palatino Linotype" w:cs="Times New Roman"/>
          <w:b/>
          <w:color w:val="00B050"/>
          <w:sz w:val="12"/>
          <w:szCs w:val="12"/>
          <w:lang w:eastAsia="fr-FR"/>
        </w:rPr>
      </w:pPr>
    </w:p>
    <w:p w:rsidR="00364F9F" w:rsidRPr="00364F9F" w:rsidRDefault="00364F9F" w:rsidP="00364F9F">
      <w:pPr>
        <w:spacing w:after="0" w:line="240" w:lineRule="auto"/>
        <w:jc w:val="both"/>
        <w:rPr>
          <w:rFonts w:ascii="Palatino Linotype" w:eastAsia="Times New Roman" w:hAnsi="Palatino Linotype" w:cs="Times New Roman"/>
          <w:lang w:eastAsia="fr-FR"/>
        </w:rPr>
      </w:pPr>
      <w:r w:rsidRPr="00364F9F">
        <w:rPr>
          <w:rFonts w:ascii="Palatino Linotype" w:eastAsia="Times New Roman" w:hAnsi="Palatino Linotype" w:cs="Times New Roman"/>
          <w:lang w:eastAsia="fr-FR"/>
        </w:rPr>
        <w:t>Après en avoir délibéré, les délégués, décident, à l’unanimité :</w:t>
      </w:r>
    </w:p>
    <w:p w:rsidR="00364F9F" w:rsidRPr="00364F9F" w:rsidRDefault="00364F9F" w:rsidP="00364F9F">
      <w:pPr>
        <w:spacing w:after="0" w:line="240" w:lineRule="auto"/>
        <w:jc w:val="both"/>
        <w:rPr>
          <w:rFonts w:ascii="Palatino Linotype" w:eastAsia="Times New Roman" w:hAnsi="Palatino Linotype" w:cs="Times New Roman"/>
          <w:sz w:val="16"/>
          <w:szCs w:val="16"/>
          <w:lang w:eastAsia="fr-FR"/>
        </w:rPr>
      </w:pPr>
    </w:p>
    <w:p w:rsidR="00364F9F" w:rsidRPr="00364F9F" w:rsidRDefault="00364F9F" w:rsidP="00364F9F">
      <w:pPr>
        <w:numPr>
          <w:ilvl w:val="0"/>
          <w:numId w:val="11"/>
        </w:numPr>
        <w:spacing w:after="0" w:line="240" w:lineRule="auto"/>
        <w:jc w:val="both"/>
        <w:rPr>
          <w:rFonts w:ascii="Palatino Linotype" w:eastAsia="Times New Roman" w:hAnsi="Palatino Linotype" w:cs="Times New Roman"/>
          <w:lang w:eastAsia="fr-FR"/>
        </w:rPr>
      </w:pPr>
      <w:r w:rsidRPr="00364F9F">
        <w:rPr>
          <w:rFonts w:ascii="Palatino Linotype" w:eastAsia="Times New Roman" w:hAnsi="Palatino Linotype" w:cs="Times New Roman"/>
          <w:b/>
          <w:lang w:eastAsia="fr-FR"/>
        </w:rPr>
        <w:t>D’OUVRIR</w:t>
      </w:r>
      <w:r w:rsidRPr="00364F9F">
        <w:rPr>
          <w:rFonts w:ascii="Palatino Linotype" w:eastAsia="Times New Roman" w:hAnsi="Palatino Linotype" w:cs="Times New Roman"/>
          <w:lang w:eastAsia="fr-FR"/>
        </w:rPr>
        <w:t xml:space="preserve"> en section de fonctionnement, les crédits à concurrence du montant attribué pour l’ensemble de l’année précédente,</w:t>
      </w:r>
    </w:p>
    <w:p w:rsidR="00364F9F" w:rsidRPr="00364F9F" w:rsidRDefault="00364F9F" w:rsidP="00364F9F">
      <w:pPr>
        <w:numPr>
          <w:ilvl w:val="0"/>
          <w:numId w:val="11"/>
        </w:numPr>
        <w:spacing w:after="0" w:line="240" w:lineRule="auto"/>
        <w:jc w:val="both"/>
        <w:rPr>
          <w:rFonts w:ascii="Palatino Linotype" w:eastAsia="Times New Roman" w:hAnsi="Palatino Linotype" w:cs="Times New Roman"/>
          <w:lang w:eastAsia="fr-FR"/>
        </w:rPr>
      </w:pPr>
      <w:r w:rsidRPr="00364F9F">
        <w:rPr>
          <w:rFonts w:ascii="Palatino Linotype" w:eastAsia="Times New Roman" w:hAnsi="Palatino Linotype" w:cs="Times New Roman"/>
          <w:b/>
          <w:lang w:eastAsia="fr-FR"/>
        </w:rPr>
        <w:t>D’AUTORISER</w:t>
      </w:r>
      <w:r w:rsidRPr="00364F9F">
        <w:rPr>
          <w:rFonts w:ascii="Palatino Linotype" w:eastAsia="Times New Roman" w:hAnsi="Palatino Linotype" w:cs="Times New Roman"/>
          <w:lang w:eastAsia="fr-FR"/>
        </w:rPr>
        <w:t>, avant le vote du budget primitif 2025, l’engagement, la liquidation et le mandatement des dépenses d’investissement correspondant à un maximum de 25 % des crédits attribués sur l’exercice 2024, et dans la limite des crédits repris ci-dessus.</w:t>
      </w:r>
    </w:p>
    <w:p w:rsidR="00364F9F" w:rsidRDefault="00364F9F" w:rsidP="00173F9B">
      <w:pPr>
        <w:pStyle w:val="FreeForm"/>
        <w:jc w:val="both"/>
        <w:rPr>
          <w:rFonts w:ascii="Palatino Linotype" w:eastAsia="Lucida Grande" w:hAnsi="Palatino Linotype" w:cs="Arial"/>
          <w:sz w:val="22"/>
          <w:szCs w:val="22"/>
        </w:rPr>
      </w:pPr>
    </w:p>
    <w:p w:rsidR="00364F9F" w:rsidRDefault="00364F9F" w:rsidP="00173F9B">
      <w:pPr>
        <w:pStyle w:val="FreeForm"/>
        <w:jc w:val="both"/>
        <w:rPr>
          <w:rFonts w:ascii="Palatino Linotype" w:eastAsia="Lucida Grande" w:hAnsi="Palatino Linotype" w:cs="Arial"/>
          <w:sz w:val="22"/>
          <w:szCs w:val="22"/>
        </w:rPr>
      </w:pPr>
    </w:p>
    <w:p w:rsidR="00364F9F" w:rsidRPr="003F31DD" w:rsidRDefault="00364F9F" w:rsidP="00364F9F">
      <w:pPr>
        <w:pStyle w:val="Paragraphedeliste"/>
        <w:pBdr>
          <w:top w:val="single" w:sz="4" w:space="1" w:color="auto"/>
          <w:left w:val="single" w:sz="4" w:space="31" w:color="auto"/>
          <w:bottom w:val="single" w:sz="4" w:space="1" w:color="auto"/>
          <w:right w:val="single" w:sz="4" w:space="4" w:color="auto"/>
        </w:pBdr>
        <w:tabs>
          <w:tab w:val="left" w:pos="7088"/>
        </w:tabs>
        <w:ind w:left="567"/>
        <w:jc w:val="center"/>
        <w:rPr>
          <w:rFonts w:ascii="Palatino Linotype" w:hAnsi="Palatino Linotype" w:cs="Calibri"/>
          <w:b/>
          <w:color w:val="000000"/>
          <w:sz w:val="24"/>
          <w:szCs w:val="24"/>
        </w:rPr>
      </w:pPr>
      <w:r>
        <w:rPr>
          <w:rFonts w:ascii="Palatino Linotype" w:hAnsi="Palatino Linotype" w:cs="Calibri"/>
          <w:b/>
          <w:color w:val="000000"/>
          <w:sz w:val="24"/>
          <w:szCs w:val="24"/>
        </w:rPr>
        <w:t>DEMANDE DE SUBVENTION DETR – CONDUITE ST-GERMAIN-LE-CHATELET – ROMAGNY-SOUS-ROUGEMONT – DERNIERE TRANCHE</w:t>
      </w:r>
    </w:p>
    <w:p w:rsidR="00364F9F" w:rsidRPr="00581FAF" w:rsidRDefault="00364F9F" w:rsidP="00364F9F">
      <w:pPr>
        <w:pStyle w:val="Sansinterligne"/>
        <w:ind w:left="-142"/>
        <w:jc w:val="both"/>
        <w:rPr>
          <w:rFonts w:ascii="Palatino Linotype" w:eastAsia="Times New Roman" w:hAnsi="Palatino Linotype" w:cs="Calibri"/>
          <w:color w:val="000000"/>
          <w:sz w:val="16"/>
          <w:szCs w:val="16"/>
          <w:lang w:eastAsia="fr-FR"/>
        </w:rPr>
      </w:pPr>
    </w:p>
    <w:p w:rsidR="00364F9F" w:rsidRDefault="00364F9F" w:rsidP="00364F9F">
      <w:pPr>
        <w:pStyle w:val="Sansinterligne"/>
        <w:ind w:left="-142"/>
        <w:jc w:val="both"/>
        <w:rPr>
          <w:rFonts w:ascii="Palatino Linotype" w:eastAsia="Times New Roman" w:hAnsi="Palatino Linotype" w:cs="Calibri"/>
          <w:color w:val="000000"/>
          <w:lang w:eastAsia="fr-FR"/>
        </w:rPr>
      </w:pPr>
      <w:r>
        <w:rPr>
          <w:rFonts w:ascii="Palatino Linotype" w:eastAsia="Times New Roman" w:hAnsi="Palatino Linotype" w:cs="Calibri"/>
          <w:color w:val="000000"/>
          <w:lang w:eastAsia="fr-FR"/>
        </w:rPr>
        <w:t xml:space="preserve">Monsieur le Président rappelle aux délégués que le renouvellement de la conduite entre Saint-Germain-le-Châtelet et </w:t>
      </w:r>
      <w:proofErr w:type="spellStart"/>
      <w:r>
        <w:rPr>
          <w:rFonts w:ascii="Palatino Linotype" w:eastAsia="Times New Roman" w:hAnsi="Palatino Linotype" w:cs="Calibri"/>
          <w:color w:val="000000"/>
          <w:lang w:eastAsia="fr-FR"/>
        </w:rPr>
        <w:t>Romagny</w:t>
      </w:r>
      <w:proofErr w:type="spellEnd"/>
      <w:r>
        <w:rPr>
          <w:rFonts w:ascii="Palatino Linotype" w:eastAsia="Times New Roman" w:hAnsi="Palatino Linotype" w:cs="Calibri"/>
          <w:color w:val="000000"/>
          <w:lang w:eastAsia="fr-FR"/>
        </w:rPr>
        <w:t>-sous-Rougemont a été prévu sur 3 années. Les travaux ont démarré en 2023 pour la tranche ferme, la tranche conditionnelle N° 1 a été réalisée en 2024. La dernière tranche sera réalisée en 2025.</w:t>
      </w:r>
    </w:p>
    <w:p w:rsidR="00364F9F" w:rsidRDefault="00364F9F" w:rsidP="00364F9F">
      <w:pPr>
        <w:pStyle w:val="Sansinterligne"/>
        <w:ind w:left="-142"/>
        <w:jc w:val="both"/>
        <w:rPr>
          <w:rFonts w:ascii="Palatino Linotype" w:eastAsia="Times New Roman" w:hAnsi="Palatino Linotype" w:cs="Calibri"/>
          <w:color w:val="000000"/>
          <w:sz w:val="10"/>
          <w:szCs w:val="10"/>
          <w:lang w:eastAsia="fr-FR"/>
        </w:rPr>
      </w:pPr>
    </w:p>
    <w:p w:rsidR="00364F9F" w:rsidRDefault="00364F9F" w:rsidP="00364F9F">
      <w:pPr>
        <w:pStyle w:val="Sansinterligne"/>
        <w:ind w:left="-142"/>
        <w:jc w:val="both"/>
        <w:rPr>
          <w:rFonts w:ascii="Palatino Linotype" w:eastAsia="Times New Roman" w:hAnsi="Palatino Linotype" w:cs="Calibri"/>
          <w:color w:val="000000"/>
          <w:lang w:eastAsia="fr-FR"/>
        </w:rPr>
      </w:pPr>
      <w:r>
        <w:rPr>
          <w:rFonts w:ascii="Palatino Linotype" w:eastAsia="Times New Roman" w:hAnsi="Palatino Linotype" w:cs="Calibri"/>
          <w:color w:val="000000"/>
          <w:lang w:eastAsia="fr-FR"/>
        </w:rPr>
        <w:t>Après examen, discussion et après en avoir délibéré, le Conseil Syndical, à l’unanimité :</w:t>
      </w:r>
    </w:p>
    <w:p w:rsidR="00364F9F" w:rsidRDefault="00364F9F" w:rsidP="00364F9F">
      <w:pPr>
        <w:pStyle w:val="Sansinterligne"/>
        <w:ind w:left="-142"/>
        <w:jc w:val="both"/>
        <w:rPr>
          <w:rFonts w:ascii="Palatino Linotype" w:eastAsia="Times New Roman" w:hAnsi="Palatino Linotype" w:cs="Calibri"/>
          <w:color w:val="000000"/>
          <w:sz w:val="14"/>
          <w:szCs w:val="14"/>
          <w:lang w:eastAsia="fr-FR"/>
        </w:rPr>
      </w:pPr>
    </w:p>
    <w:p w:rsidR="00364F9F" w:rsidRDefault="00364F9F" w:rsidP="00364F9F">
      <w:pPr>
        <w:pStyle w:val="Sansinterligne"/>
        <w:numPr>
          <w:ilvl w:val="0"/>
          <w:numId w:val="12"/>
        </w:numPr>
        <w:ind w:left="-142" w:firstLine="0"/>
        <w:jc w:val="both"/>
        <w:rPr>
          <w:rFonts w:ascii="Palatino Linotype" w:eastAsia="Times New Roman" w:hAnsi="Palatino Linotype" w:cs="Calibri"/>
          <w:color w:val="000000"/>
          <w:lang w:eastAsia="fr-FR"/>
        </w:rPr>
      </w:pPr>
      <w:r>
        <w:rPr>
          <w:rFonts w:ascii="Palatino Linotype" w:eastAsia="Times New Roman" w:hAnsi="Palatino Linotype" w:cs="Calibri"/>
          <w:b/>
          <w:color w:val="000000"/>
          <w:lang w:eastAsia="fr-FR"/>
        </w:rPr>
        <w:t>SOLLICITE</w:t>
      </w:r>
      <w:r>
        <w:rPr>
          <w:rFonts w:ascii="Palatino Linotype" w:eastAsia="Times New Roman" w:hAnsi="Palatino Linotype" w:cs="Calibri"/>
          <w:color w:val="000000"/>
          <w:lang w:eastAsia="fr-FR"/>
        </w:rPr>
        <w:t xml:space="preserve"> une aide financière au titre de la D.E.T.R. (Dotation d’Equipement des Territoires Ruraux) d’un montant de 100 000 € HT (soit 33.98 %),</w:t>
      </w:r>
    </w:p>
    <w:p w:rsidR="00364F9F" w:rsidRDefault="00364F9F" w:rsidP="00364F9F">
      <w:pPr>
        <w:pStyle w:val="Sansinterligne"/>
        <w:numPr>
          <w:ilvl w:val="0"/>
          <w:numId w:val="12"/>
        </w:numPr>
        <w:ind w:left="-142" w:firstLine="0"/>
        <w:jc w:val="both"/>
        <w:rPr>
          <w:rFonts w:ascii="Palatino Linotype" w:eastAsia="Times New Roman" w:hAnsi="Palatino Linotype" w:cs="Calibri"/>
          <w:color w:val="000000"/>
          <w:lang w:eastAsia="fr-FR"/>
        </w:rPr>
      </w:pPr>
      <w:r>
        <w:rPr>
          <w:rFonts w:ascii="Palatino Linotype" w:eastAsia="Times New Roman" w:hAnsi="Palatino Linotype" w:cs="Calibri"/>
          <w:b/>
          <w:color w:val="000000"/>
          <w:lang w:eastAsia="fr-FR"/>
        </w:rPr>
        <w:t>ADOPTE</w:t>
      </w:r>
      <w:r>
        <w:rPr>
          <w:rFonts w:ascii="Palatino Linotype" w:eastAsia="Times New Roman" w:hAnsi="Palatino Linotype" w:cs="Calibri"/>
          <w:color w:val="000000"/>
          <w:lang w:eastAsia="fr-FR"/>
        </w:rPr>
        <w:t xml:space="preserve"> la phase 3 de l’opération qui s’élève 294 336.39 HT, soit 353 203.67 € TTC, suivant l’avant-projet ;</w:t>
      </w:r>
    </w:p>
    <w:p w:rsidR="00364F9F" w:rsidRDefault="00364F9F" w:rsidP="00364F9F">
      <w:pPr>
        <w:pStyle w:val="Sansinterligne"/>
        <w:numPr>
          <w:ilvl w:val="0"/>
          <w:numId w:val="12"/>
        </w:numPr>
        <w:ind w:left="-142" w:firstLine="0"/>
        <w:jc w:val="both"/>
        <w:rPr>
          <w:rFonts w:ascii="Palatino Linotype" w:eastAsia="Times New Roman" w:hAnsi="Palatino Linotype" w:cs="Calibri"/>
          <w:color w:val="000000"/>
          <w:lang w:eastAsia="fr-FR"/>
        </w:rPr>
      </w:pPr>
      <w:r>
        <w:rPr>
          <w:rFonts w:ascii="Palatino Linotype" w:eastAsia="Times New Roman" w:hAnsi="Palatino Linotype" w:cs="Calibri"/>
          <w:b/>
          <w:color w:val="000000"/>
          <w:lang w:eastAsia="fr-FR"/>
        </w:rPr>
        <w:t>APPROUVE</w:t>
      </w:r>
      <w:r>
        <w:rPr>
          <w:rFonts w:ascii="Palatino Linotype" w:eastAsia="Times New Roman" w:hAnsi="Palatino Linotype" w:cs="Calibri"/>
          <w:color w:val="000000"/>
          <w:lang w:eastAsia="fr-FR"/>
        </w:rPr>
        <w:t xml:space="preserve"> le plan de financement, comme suit : </w:t>
      </w:r>
    </w:p>
    <w:p w:rsidR="00364F9F" w:rsidRDefault="00364F9F" w:rsidP="00364F9F">
      <w:pPr>
        <w:pStyle w:val="Sansinterligne"/>
        <w:ind w:left="-142"/>
        <w:jc w:val="both"/>
        <w:rPr>
          <w:rFonts w:ascii="Palatino Linotype" w:eastAsia="Times New Roman" w:hAnsi="Palatino Linotype" w:cs="Calibri"/>
          <w:color w:val="000000"/>
          <w:sz w:val="20"/>
          <w:szCs w:val="20"/>
          <w:lang w:eastAsia="fr-FR"/>
        </w:rPr>
      </w:pPr>
    </w:p>
    <w:tbl>
      <w:tblPr>
        <w:tblW w:w="0" w:type="auto"/>
        <w:jc w:val="center"/>
        <w:tblLayout w:type="fixed"/>
        <w:tblCellMar>
          <w:left w:w="120" w:type="dxa"/>
          <w:right w:w="120" w:type="dxa"/>
        </w:tblCellMar>
        <w:tblLook w:val="04A0" w:firstRow="1" w:lastRow="0" w:firstColumn="1" w:lastColumn="0" w:noHBand="0" w:noVBand="1"/>
      </w:tblPr>
      <w:tblGrid>
        <w:gridCol w:w="3265"/>
        <w:gridCol w:w="5755"/>
      </w:tblGrid>
      <w:tr w:rsidR="00364F9F" w:rsidTr="00364F9F">
        <w:trPr>
          <w:trHeight w:val="700"/>
          <w:jc w:val="center"/>
        </w:trPr>
        <w:tc>
          <w:tcPr>
            <w:tcW w:w="3265" w:type="dxa"/>
            <w:tcBorders>
              <w:top w:val="single" w:sz="8" w:space="0" w:color="000000"/>
              <w:left w:val="single" w:sz="8" w:space="0" w:color="000000"/>
              <w:bottom w:val="single" w:sz="8" w:space="0" w:color="000000"/>
              <w:right w:val="single" w:sz="8" w:space="0" w:color="000000"/>
            </w:tcBorders>
          </w:tcPr>
          <w:p w:rsidR="00364F9F" w:rsidRDefault="00364F9F">
            <w:pPr>
              <w:pStyle w:val="Paragraphedeliste"/>
              <w:widowControl w:val="0"/>
              <w:autoSpaceDE w:val="0"/>
              <w:autoSpaceDN w:val="0"/>
              <w:adjustRightInd w:val="0"/>
              <w:spacing w:after="0" w:line="120" w:lineRule="exact"/>
              <w:rPr>
                <w:rFonts w:ascii="Palatino Linotype" w:eastAsia="Times New Roman" w:hAnsi="Palatino Linotype" w:cs="Times New Roman"/>
                <w:sz w:val="20"/>
                <w:szCs w:val="20"/>
                <w:lang w:eastAsia="fr-FR"/>
              </w:rPr>
            </w:pPr>
          </w:p>
          <w:p w:rsidR="005070F2" w:rsidRDefault="005070F2">
            <w:pPr>
              <w:pStyle w:val="Paragraphedeliste"/>
              <w:widowControl w:val="0"/>
              <w:autoSpaceDE w:val="0"/>
              <w:autoSpaceDN w:val="0"/>
              <w:adjustRightInd w:val="0"/>
              <w:spacing w:after="58" w:line="240" w:lineRule="auto"/>
              <w:rPr>
                <w:rFonts w:ascii="Palatino Linotype" w:eastAsia="Times New Roman" w:hAnsi="Palatino Linotype" w:cs="Times New Roman"/>
                <w:b/>
                <w:bCs/>
                <w:sz w:val="20"/>
                <w:szCs w:val="20"/>
                <w:lang w:eastAsia="fr-FR"/>
              </w:rPr>
            </w:pPr>
          </w:p>
          <w:p w:rsidR="00364F9F" w:rsidRDefault="00364F9F">
            <w:pPr>
              <w:pStyle w:val="Paragraphedeliste"/>
              <w:widowControl w:val="0"/>
              <w:autoSpaceDE w:val="0"/>
              <w:autoSpaceDN w:val="0"/>
              <w:adjustRightInd w:val="0"/>
              <w:spacing w:after="58" w:line="240" w:lineRule="auto"/>
              <w:rPr>
                <w:rFonts w:ascii="Palatino Linotype" w:eastAsia="Times New Roman" w:hAnsi="Palatino Linotype" w:cs="Times New Roman"/>
                <w:sz w:val="20"/>
                <w:szCs w:val="20"/>
                <w:lang w:eastAsia="fr-FR"/>
              </w:rPr>
            </w:pPr>
            <w:r>
              <w:rPr>
                <w:rFonts w:ascii="Palatino Linotype" w:eastAsia="Times New Roman" w:hAnsi="Palatino Linotype" w:cs="Times New Roman"/>
                <w:b/>
                <w:bCs/>
                <w:sz w:val="20"/>
                <w:szCs w:val="20"/>
                <w:lang w:eastAsia="fr-FR"/>
              </w:rPr>
              <w:t>DÉPENSES</w:t>
            </w:r>
          </w:p>
        </w:tc>
        <w:tc>
          <w:tcPr>
            <w:tcW w:w="5755" w:type="dxa"/>
            <w:tcBorders>
              <w:top w:val="single" w:sz="8" w:space="0" w:color="000000"/>
              <w:left w:val="single" w:sz="8" w:space="0" w:color="000000"/>
              <w:bottom w:val="single" w:sz="8" w:space="0" w:color="000000"/>
              <w:right w:val="single" w:sz="8" w:space="0" w:color="000000"/>
            </w:tcBorders>
          </w:tcPr>
          <w:p w:rsidR="00364F9F" w:rsidRDefault="00364F9F">
            <w:pPr>
              <w:widowControl w:val="0"/>
              <w:autoSpaceDE w:val="0"/>
              <w:autoSpaceDN w:val="0"/>
              <w:adjustRightInd w:val="0"/>
              <w:spacing w:line="120" w:lineRule="exact"/>
              <w:rPr>
                <w:rFonts w:ascii="Palatino Linotype" w:eastAsia="Times New Roman" w:hAnsi="Palatino Linotype" w:cs="Times New Roman"/>
                <w:sz w:val="20"/>
                <w:szCs w:val="20"/>
              </w:rPr>
            </w:pPr>
          </w:p>
          <w:p w:rsidR="00364F9F" w:rsidRDefault="00364F9F">
            <w:pPr>
              <w:widowControl w:val="0"/>
              <w:autoSpaceDE w:val="0"/>
              <w:autoSpaceDN w:val="0"/>
              <w:adjustRightInd w:val="0"/>
              <w:spacing w:line="276" w:lineRule="auto"/>
              <w:rPr>
                <w:rFonts w:ascii="Palatino Linotype" w:hAnsi="Palatino Linotype"/>
                <w:b/>
                <w:bCs/>
                <w:sz w:val="20"/>
                <w:szCs w:val="20"/>
              </w:rPr>
            </w:pPr>
            <w:r>
              <w:rPr>
                <w:rFonts w:ascii="Palatino Linotype" w:hAnsi="Palatino Linotype"/>
                <w:b/>
                <w:bCs/>
                <w:sz w:val="20"/>
                <w:szCs w:val="20"/>
              </w:rPr>
              <w:t xml:space="preserve">                RECETTES DE FINANCEMENTS</w:t>
            </w:r>
          </w:p>
          <w:p w:rsidR="00364F9F" w:rsidRDefault="00364F9F">
            <w:pPr>
              <w:widowControl w:val="0"/>
              <w:autoSpaceDE w:val="0"/>
              <w:autoSpaceDN w:val="0"/>
              <w:adjustRightInd w:val="0"/>
              <w:spacing w:after="58" w:line="276" w:lineRule="auto"/>
              <w:rPr>
                <w:rFonts w:ascii="Palatino Linotype" w:hAnsi="Palatino Linotype"/>
                <w:sz w:val="20"/>
                <w:szCs w:val="20"/>
              </w:rPr>
            </w:pPr>
            <w:r>
              <w:rPr>
                <w:rFonts w:ascii="Palatino Linotype" w:hAnsi="Palatino Linotype"/>
                <w:b/>
                <w:bCs/>
                <w:sz w:val="20"/>
                <w:szCs w:val="20"/>
              </w:rPr>
              <w:t xml:space="preserve">                 </w:t>
            </w:r>
            <w:r>
              <w:rPr>
                <w:rFonts w:ascii="Palatino Linotype" w:hAnsi="Palatino Linotype"/>
                <w:sz w:val="20"/>
                <w:szCs w:val="20"/>
              </w:rPr>
              <w:t xml:space="preserve">       </w:t>
            </w:r>
            <w:r>
              <w:rPr>
                <w:rFonts w:ascii="Palatino Linotype" w:hAnsi="Palatino Linotype"/>
                <w:b/>
                <w:bCs/>
                <w:sz w:val="20"/>
                <w:szCs w:val="20"/>
              </w:rPr>
              <w:t xml:space="preserve">   CORRESPONDANTS</w:t>
            </w:r>
          </w:p>
        </w:tc>
      </w:tr>
      <w:tr w:rsidR="00364F9F" w:rsidTr="00364F9F">
        <w:trPr>
          <w:trHeight w:val="1594"/>
          <w:jc w:val="center"/>
        </w:trPr>
        <w:tc>
          <w:tcPr>
            <w:tcW w:w="3265" w:type="dxa"/>
            <w:tcBorders>
              <w:top w:val="single" w:sz="8" w:space="0" w:color="000000"/>
              <w:left w:val="single" w:sz="8" w:space="0" w:color="000000"/>
              <w:bottom w:val="single" w:sz="8" w:space="0" w:color="000000"/>
              <w:right w:val="single" w:sz="8" w:space="0" w:color="000000"/>
            </w:tcBorders>
          </w:tcPr>
          <w:p w:rsidR="00364F9F" w:rsidRDefault="00364F9F">
            <w:pPr>
              <w:widowControl w:val="0"/>
              <w:autoSpaceDE w:val="0"/>
              <w:autoSpaceDN w:val="0"/>
              <w:adjustRightInd w:val="0"/>
              <w:spacing w:line="276" w:lineRule="auto"/>
              <w:rPr>
                <w:rFonts w:ascii="Palatino Linotype" w:hAnsi="Palatino Linotype"/>
                <w:b/>
              </w:rPr>
            </w:pPr>
          </w:p>
          <w:p w:rsidR="00364F9F" w:rsidRDefault="00364F9F">
            <w:pPr>
              <w:widowControl w:val="0"/>
              <w:autoSpaceDE w:val="0"/>
              <w:autoSpaceDN w:val="0"/>
              <w:adjustRightInd w:val="0"/>
              <w:spacing w:line="276" w:lineRule="auto"/>
              <w:rPr>
                <w:rFonts w:ascii="Palatino Linotype" w:hAnsi="Palatino Linotype"/>
                <w:b/>
              </w:rPr>
            </w:pPr>
            <w:r>
              <w:rPr>
                <w:rFonts w:ascii="Palatino Linotype" w:hAnsi="Palatino Linotype"/>
                <w:b/>
              </w:rPr>
              <w:t xml:space="preserve">  Coût de l’opération :</w:t>
            </w:r>
          </w:p>
          <w:p w:rsidR="00364F9F" w:rsidRDefault="00364F9F">
            <w:pPr>
              <w:widowControl w:val="0"/>
              <w:autoSpaceDE w:val="0"/>
              <w:autoSpaceDN w:val="0"/>
              <w:adjustRightInd w:val="0"/>
              <w:spacing w:line="276" w:lineRule="auto"/>
              <w:rPr>
                <w:rFonts w:ascii="Palatino Linotype" w:hAnsi="Palatino Linotype"/>
                <w:b/>
              </w:rPr>
            </w:pPr>
          </w:p>
          <w:p w:rsidR="00364F9F" w:rsidRDefault="00364F9F">
            <w:pPr>
              <w:widowControl w:val="0"/>
              <w:autoSpaceDE w:val="0"/>
              <w:autoSpaceDN w:val="0"/>
              <w:adjustRightInd w:val="0"/>
              <w:spacing w:line="276" w:lineRule="auto"/>
              <w:rPr>
                <w:rFonts w:ascii="Palatino Linotype" w:hAnsi="Palatino Linotype"/>
                <w:b/>
              </w:rPr>
            </w:pPr>
            <w:r>
              <w:rPr>
                <w:rFonts w:ascii="Palatino Linotype" w:hAnsi="Palatino Linotype"/>
                <w:b/>
              </w:rPr>
              <w:t xml:space="preserve">       294 336.39 € HT</w:t>
            </w:r>
          </w:p>
        </w:tc>
        <w:tc>
          <w:tcPr>
            <w:tcW w:w="5755" w:type="dxa"/>
            <w:tcBorders>
              <w:top w:val="single" w:sz="8" w:space="0" w:color="000000"/>
              <w:left w:val="single" w:sz="8" w:space="0" w:color="000000"/>
              <w:bottom w:val="single" w:sz="8" w:space="0" w:color="000000"/>
              <w:right w:val="single" w:sz="8" w:space="0" w:color="000000"/>
            </w:tcBorders>
          </w:tcPr>
          <w:p w:rsidR="00364F9F" w:rsidRDefault="00364F9F">
            <w:pPr>
              <w:widowControl w:val="0"/>
              <w:autoSpaceDE w:val="0"/>
              <w:autoSpaceDN w:val="0"/>
              <w:adjustRightInd w:val="0"/>
              <w:spacing w:line="120" w:lineRule="exact"/>
              <w:rPr>
                <w:rFonts w:ascii="Palatino Linotype" w:hAnsi="Palatino Linotype"/>
              </w:rPr>
            </w:pPr>
          </w:p>
          <w:p w:rsidR="00364F9F" w:rsidRDefault="00364F9F">
            <w:pPr>
              <w:widowControl w:val="0"/>
              <w:autoSpaceDE w:val="0"/>
              <w:autoSpaceDN w:val="0"/>
              <w:adjustRightInd w:val="0"/>
              <w:spacing w:line="276" w:lineRule="auto"/>
              <w:rPr>
                <w:rFonts w:ascii="Palatino Linotype" w:hAnsi="Palatino Linotype"/>
                <w:b/>
              </w:rPr>
            </w:pPr>
            <w:r>
              <w:rPr>
                <w:rFonts w:ascii="Palatino Linotype" w:hAnsi="Palatino Linotype"/>
              </w:rPr>
              <w:t xml:space="preserve">Montant DETR sollicitée (33.98 %)              </w:t>
            </w:r>
            <w:r>
              <w:rPr>
                <w:rFonts w:ascii="Palatino Linotype" w:hAnsi="Palatino Linotype"/>
                <w:b/>
              </w:rPr>
              <w:t>100 000 €</w:t>
            </w:r>
          </w:p>
          <w:p w:rsidR="00364F9F" w:rsidRDefault="00364F9F">
            <w:pPr>
              <w:widowControl w:val="0"/>
              <w:autoSpaceDE w:val="0"/>
              <w:autoSpaceDN w:val="0"/>
              <w:adjustRightInd w:val="0"/>
              <w:spacing w:line="276" w:lineRule="auto"/>
              <w:rPr>
                <w:rFonts w:ascii="Palatino Linotype" w:hAnsi="Palatino Linotype"/>
                <w:b/>
              </w:rPr>
            </w:pPr>
            <w:r>
              <w:rPr>
                <w:rFonts w:ascii="Palatino Linotype" w:hAnsi="Palatino Linotype"/>
                <w:b/>
              </w:rPr>
              <w:t>(</w:t>
            </w:r>
            <w:proofErr w:type="gramStart"/>
            <w:r>
              <w:rPr>
                <w:rFonts w:ascii="Palatino Linotype" w:hAnsi="Palatino Linotype"/>
                <w:b/>
              </w:rPr>
              <w:t>coût</w:t>
            </w:r>
            <w:proofErr w:type="gramEnd"/>
            <w:r>
              <w:rPr>
                <w:rFonts w:ascii="Palatino Linotype" w:hAnsi="Palatino Linotype"/>
                <w:b/>
              </w:rPr>
              <w:t xml:space="preserve"> éligible : 400 000 €)</w:t>
            </w:r>
          </w:p>
          <w:p w:rsidR="00364F9F" w:rsidRDefault="00364F9F">
            <w:pPr>
              <w:widowControl w:val="0"/>
              <w:autoSpaceDE w:val="0"/>
              <w:autoSpaceDN w:val="0"/>
              <w:adjustRightInd w:val="0"/>
              <w:spacing w:line="276" w:lineRule="auto"/>
              <w:rPr>
                <w:rFonts w:ascii="Palatino Linotype" w:hAnsi="Palatino Linotype"/>
                <w:b/>
              </w:rPr>
            </w:pPr>
            <w:r>
              <w:rPr>
                <w:rFonts w:ascii="Palatino Linotype" w:hAnsi="Palatino Linotype"/>
              </w:rPr>
              <w:t xml:space="preserve">Montant de l’autofinancement               </w:t>
            </w:r>
            <w:r>
              <w:rPr>
                <w:rFonts w:ascii="Palatino Linotype" w:hAnsi="Palatino Linotype"/>
                <w:b/>
              </w:rPr>
              <w:t xml:space="preserve">     194 336.39 €</w:t>
            </w:r>
          </w:p>
          <w:p w:rsidR="00364F9F" w:rsidRDefault="00364F9F">
            <w:pPr>
              <w:widowControl w:val="0"/>
              <w:autoSpaceDE w:val="0"/>
              <w:autoSpaceDN w:val="0"/>
              <w:adjustRightInd w:val="0"/>
              <w:spacing w:line="276" w:lineRule="auto"/>
              <w:rPr>
                <w:rFonts w:ascii="Palatino Linotype" w:hAnsi="Palatino Linotype"/>
              </w:rPr>
            </w:pPr>
            <w:proofErr w:type="gramStart"/>
            <w:r>
              <w:rPr>
                <w:rFonts w:ascii="Palatino Linotype" w:hAnsi="Palatino Linotype"/>
              </w:rPr>
              <w:t>fonds</w:t>
            </w:r>
            <w:proofErr w:type="gramEnd"/>
            <w:r>
              <w:rPr>
                <w:rFonts w:ascii="Palatino Linotype" w:hAnsi="Palatino Linotype"/>
              </w:rPr>
              <w:t xml:space="preserve"> propres et emprunt ( 66.02 %)              </w:t>
            </w:r>
          </w:p>
          <w:p w:rsidR="00364F9F" w:rsidRDefault="00364F9F">
            <w:pPr>
              <w:widowControl w:val="0"/>
              <w:autoSpaceDE w:val="0"/>
              <w:autoSpaceDN w:val="0"/>
              <w:adjustRightInd w:val="0"/>
              <w:spacing w:after="58" w:line="276" w:lineRule="auto"/>
              <w:rPr>
                <w:rFonts w:ascii="Palatino Linotype" w:hAnsi="Palatino Linotype"/>
              </w:rPr>
            </w:pPr>
          </w:p>
        </w:tc>
      </w:tr>
    </w:tbl>
    <w:p w:rsidR="00364F9F" w:rsidRDefault="00364F9F" w:rsidP="00173F9B">
      <w:pPr>
        <w:pStyle w:val="FreeForm"/>
        <w:jc w:val="both"/>
        <w:rPr>
          <w:rFonts w:ascii="Palatino Linotype" w:eastAsia="Lucida Grande" w:hAnsi="Palatino Linotype" w:cs="Arial"/>
          <w:sz w:val="22"/>
          <w:szCs w:val="22"/>
        </w:rPr>
      </w:pPr>
    </w:p>
    <w:p w:rsidR="00364F9F" w:rsidRDefault="00364F9F" w:rsidP="00173F9B">
      <w:pPr>
        <w:pStyle w:val="FreeForm"/>
        <w:jc w:val="both"/>
        <w:rPr>
          <w:rFonts w:ascii="Palatino Linotype" w:eastAsia="Lucida Grande" w:hAnsi="Palatino Linotype" w:cs="Arial"/>
          <w:sz w:val="22"/>
          <w:szCs w:val="22"/>
        </w:rPr>
      </w:pPr>
    </w:p>
    <w:p w:rsidR="00D000BD" w:rsidRDefault="00D000BD" w:rsidP="00173F9B">
      <w:pPr>
        <w:pStyle w:val="FreeForm"/>
        <w:jc w:val="both"/>
        <w:rPr>
          <w:rFonts w:ascii="Palatino Linotype" w:eastAsia="Lucida Grande" w:hAnsi="Palatino Linotype" w:cs="Arial"/>
          <w:sz w:val="22"/>
          <w:szCs w:val="22"/>
        </w:rPr>
      </w:pPr>
    </w:p>
    <w:p w:rsidR="00D000BD" w:rsidRDefault="00D000BD" w:rsidP="00173F9B">
      <w:pPr>
        <w:pStyle w:val="FreeForm"/>
        <w:jc w:val="both"/>
        <w:rPr>
          <w:rFonts w:ascii="Palatino Linotype" w:eastAsia="Lucida Grande" w:hAnsi="Palatino Linotype" w:cs="Arial"/>
          <w:sz w:val="22"/>
          <w:szCs w:val="22"/>
        </w:rPr>
      </w:pPr>
    </w:p>
    <w:p w:rsidR="00D000BD" w:rsidRDefault="00D000BD" w:rsidP="00173F9B">
      <w:pPr>
        <w:pStyle w:val="FreeForm"/>
        <w:jc w:val="both"/>
        <w:rPr>
          <w:rFonts w:ascii="Palatino Linotype" w:eastAsia="Lucida Grande" w:hAnsi="Palatino Linotype" w:cs="Arial"/>
          <w:sz w:val="22"/>
          <w:szCs w:val="22"/>
        </w:rPr>
      </w:pPr>
    </w:p>
    <w:p w:rsidR="00EB635C" w:rsidRDefault="00EB635C" w:rsidP="00173F9B">
      <w:pPr>
        <w:pStyle w:val="FreeForm"/>
        <w:jc w:val="both"/>
        <w:rPr>
          <w:rFonts w:ascii="Palatino Linotype" w:eastAsia="Lucida Grande" w:hAnsi="Palatino Linotype" w:cs="Arial"/>
          <w:sz w:val="22"/>
          <w:szCs w:val="22"/>
        </w:rPr>
      </w:pPr>
    </w:p>
    <w:p w:rsidR="00EB635C" w:rsidRDefault="00EB635C" w:rsidP="00173F9B">
      <w:pPr>
        <w:pStyle w:val="FreeForm"/>
        <w:jc w:val="both"/>
        <w:rPr>
          <w:rFonts w:ascii="Palatino Linotype" w:eastAsia="Lucida Grande" w:hAnsi="Palatino Linotype" w:cs="Arial"/>
          <w:sz w:val="22"/>
          <w:szCs w:val="22"/>
        </w:rPr>
      </w:pPr>
    </w:p>
    <w:p w:rsidR="00D000BD" w:rsidRPr="00FF50A8" w:rsidRDefault="008C1E14" w:rsidP="00D000BD">
      <w:pPr>
        <w:pStyle w:val="Paragraphedeliste"/>
        <w:pBdr>
          <w:top w:val="single" w:sz="4" w:space="0" w:color="auto"/>
          <w:left w:val="single" w:sz="4" w:space="31" w:color="auto"/>
          <w:bottom w:val="single" w:sz="4" w:space="1" w:color="auto"/>
          <w:right w:val="single" w:sz="4" w:space="4" w:color="auto"/>
        </w:pBdr>
        <w:spacing w:after="0" w:line="240" w:lineRule="auto"/>
        <w:jc w:val="center"/>
        <w:rPr>
          <w:rFonts w:ascii="Palatino Linotype" w:hAnsi="Palatino Linotype"/>
          <w:b/>
          <w:sz w:val="24"/>
          <w:szCs w:val="24"/>
        </w:rPr>
      </w:pPr>
      <w:r>
        <w:rPr>
          <w:rFonts w:ascii="Palatino Linotype" w:hAnsi="Palatino Linotype"/>
          <w:b/>
          <w:sz w:val="24"/>
          <w:szCs w:val="24"/>
        </w:rPr>
        <w:lastRenderedPageBreak/>
        <w:t>DEMANDE DE SUBVENTION DETR – CONDUITE INTERCONNEXION ST GERMAIN-LE</w:t>
      </w:r>
      <w:r w:rsidR="00445D6C">
        <w:rPr>
          <w:rFonts w:ascii="Palatino Linotype" w:hAnsi="Palatino Linotype"/>
          <w:b/>
          <w:sz w:val="24"/>
          <w:szCs w:val="24"/>
        </w:rPr>
        <w:t>-CHATELET/BOURG-SOUS-CHATELET -</w:t>
      </w:r>
      <w:r>
        <w:rPr>
          <w:rFonts w:ascii="Palatino Linotype" w:hAnsi="Palatino Linotype"/>
          <w:b/>
          <w:sz w:val="24"/>
          <w:szCs w:val="24"/>
        </w:rPr>
        <w:t>SECURISATION DU RESEAU D’EAU POTABLE</w:t>
      </w:r>
    </w:p>
    <w:p w:rsidR="008C1E14" w:rsidRDefault="008C1E14" w:rsidP="008C1E14">
      <w:pPr>
        <w:spacing w:after="0" w:line="240" w:lineRule="auto"/>
        <w:ind w:left="-142" w:right="-2"/>
        <w:jc w:val="both"/>
        <w:rPr>
          <w:rFonts w:ascii="Palatino Linotype" w:eastAsia="Times New Roman" w:hAnsi="Palatino Linotype" w:cs="Times New Roman"/>
          <w:bCs/>
          <w:spacing w:val="1"/>
          <w:lang w:eastAsia="fr-FR"/>
        </w:rPr>
      </w:pPr>
    </w:p>
    <w:p w:rsidR="008C1E14" w:rsidRPr="008C1E14" w:rsidRDefault="008C1E14" w:rsidP="008C1E14">
      <w:pPr>
        <w:spacing w:after="0" w:line="240" w:lineRule="auto"/>
        <w:ind w:left="-142" w:right="-2"/>
        <w:jc w:val="both"/>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Monsieur le Président expose le projet de travaux d’interconnexion entre les communes de Saint-Germain-le-Châtelet (Syndicat des Eaux de la Saint Nicolas) et Bourg-sous-Châtelet (Syndicat des Eaux de Giromagny). Le coût prévisionnel est estimé (sur la base d’un estimatif au stade études) à 135 725 € HT soit 162 870 € TTC pour les travaux et 18 858.30 € HT soit 22 629.96 € TTC pour la maîtrise d’œuvre.</w:t>
      </w:r>
    </w:p>
    <w:p w:rsidR="008C1E14" w:rsidRPr="008C1E14" w:rsidRDefault="008C1E14" w:rsidP="008C1E14">
      <w:pPr>
        <w:spacing w:after="0" w:line="240" w:lineRule="auto"/>
        <w:ind w:left="-142" w:right="-2"/>
        <w:jc w:val="both"/>
        <w:rPr>
          <w:rFonts w:ascii="Palatino Linotype" w:eastAsia="Times New Roman" w:hAnsi="Palatino Linotype" w:cs="Times New Roman"/>
          <w:bCs/>
          <w:spacing w:val="1"/>
          <w:lang w:eastAsia="fr-FR"/>
        </w:rPr>
      </w:pPr>
    </w:p>
    <w:p w:rsidR="008C1E14" w:rsidRPr="008C1E14" w:rsidRDefault="008C1E14" w:rsidP="008C1E14">
      <w:pPr>
        <w:spacing w:after="0" w:line="240" w:lineRule="auto"/>
        <w:ind w:left="-142" w:right="-2"/>
        <w:jc w:val="both"/>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Il précise que le coût des travaux et le coût de la maîtrise d’œuvre seront supportés à 50% par le Syndicat des Eaux de la Saint Nicolas et à 50% par le Syndicat des Eaux de Giromagny, soit pour chaque syndicat :</w:t>
      </w:r>
    </w:p>
    <w:p w:rsidR="008C1E14" w:rsidRPr="008C1E14" w:rsidRDefault="008C1E14" w:rsidP="008C1E14">
      <w:pPr>
        <w:spacing w:after="0" w:line="240" w:lineRule="auto"/>
        <w:ind w:left="-142" w:right="565"/>
        <w:jc w:val="both"/>
        <w:rPr>
          <w:rFonts w:ascii="Palatino Linotype" w:eastAsia="Times New Roman" w:hAnsi="Palatino Linotype" w:cs="Times New Roman"/>
          <w:bCs/>
          <w:spacing w:val="1"/>
          <w:lang w:eastAsia="fr-FR"/>
        </w:rPr>
      </w:pPr>
    </w:p>
    <w:p w:rsidR="008C1E14" w:rsidRPr="008C1E14" w:rsidRDefault="008C1E14" w:rsidP="008C1E14">
      <w:pPr>
        <w:spacing w:after="0" w:line="240" w:lineRule="auto"/>
        <w:ind w:left="-142" w:right="565"/>
        <w:jc w:val="both"/>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67 862.50 € HT, soit 81 435 € TTC en travaux</w:t>
      </w:r>
    </w:p>
    <w:p w:rsidR="008C1E14" w:rsidRPr="008C1E14" w:rsidRDefault="008C1E14" w:rsidP="008C1E14">
      <w:pPr>
        <w:spacing w:after="0" w:line="240" w:lineRule="auto"/>
        <w:ind w:left="-142" w:right="565"/>
        <w:jc w:val="both"/>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 xml:space="preserve">  9 429.15 € HT, soit 11 314.98 € TTC en maîtrise d’œuvre</w:t>
      </w:r>
    </w:p>
    <w:p w:rsidR="008C1E14" w:rsidRPr="008C1E14" w:rsidRDefault="008C1E14" w:rsidP="008C1E14">
      <w:pPr>
        <w:spacing w:after="0" w:line="240" w:lineRule="auto"/>
        <w:ind w:left="-142" w:right="565"/>
        <w:jc w:val="both"/>
        <w:rPr>
          <w:rFonts w:ascii="Palatino Linotype" w:eastAsia="Times New Roman" w:hAnsi="Palatino Linotype" w:cs="Times New Roman"/>
          <w:b/>
          <w:spacing w:val="1"/>
          <w:lang w:eastAsia="fr-FR"/>
        </w:rPr>
      </w:pPr>
      <w:r w:rsidRPr="008C1E14">
        <w:rPr>
          <w:rFonts w:ascii="Palatino Linotype" w:eastAsia="Times New Roman" w:hAnsi="Palatino Linotype" w:cs="Times New Roman"/>
          <w:b/>
          <w:spacing w:val="1"/>
          <w:lang w:eastAsia="fr-FR"/>
        </w:rPr>
        <w:t>77 291.65 € HT, soit 92 749.98 € TTC au total.</w:t>
      </w:r>
    </w:p>
    <w:p w:rsidR="008C1E14" w:rsidRPr="008C1E14" w:rsidRDefault="008C1E14" w:rsidP="008C1E14">
      <w:pPr>
        <w:spacing w:after="0" w:line="240" w:lineRule="auto"/>
        <w:rPr>
          <w:rFonts w:ascii="Palatino Linotype" w:eastAsia="Times New Roman" w:hAnsi="Palatino Linotype" w:cs="Times New Roman"/>
          <w:bCs/>
          <w:spacing w:val="1"/>
          <w:sz w:val="24"/>
          <w:szCs w:val="24"/>
          <w:lang w:eastAsia="fr-FR"/>
        </w:rPr>
      </w:pPr>
    </w:p>
    <w:p w:rsidR="008C1E14" w:rsidRPr="008C1E14" w:rsidRDefault="008C1E14" w:rsidP="008C1E14">
      <w:pPr>
        <w:spacing w:after="0" w:line="240" w:lineRule="auto"/>
        <w:ind w:left="-142"/>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u w:val="single"/>
          <w:lang w:eastAsia="fr-FR"/>
        </w:rPr>
        <w:t>Le plan de financement prévisionnel</w:t>
      </w:r>
      <w:r w:rsidRPr="008C1E14">
        <w:rPr>
          <w:rFonts w:ascii="Palatino Linotype" w:eastAsia="Times New Roman" w:hAnsi="Palatino Linotype" w:cs="Times New Roman"/>
          <w:bCs/>
          <w:spacing w:val="1"/>
          <w:lang w:eastAsia="fr-FR"/>
        </w:rPr>
        <w:t xml:space="preserve"> de cette opération est le suivant :</w:t>
      </w:r>
    </w:p>
    <w:p w:rsidR="008C1E14" w:rsidRPr="008C1E14" w:rsidRDefault="008C1E14" w:rsidP="008C1E14">
      <w:pPr>
        <w:spacing w:after="0" w:line="240" w:lineRule="auto"/>
        <w:rPr>
          <w:rFonts w:ascii="Times New Roman" w:eastAsia="Times New Roman" w:hAnsi="Times New Roman" w:cs="Times New Roman"/>
          <w:bCs/>
          <w:spacing w:val="1"/>
          <w:sz w:val="24"/>
          <w:szCs w:val="24"/>
          <w:lang w:eastAsia="fr-FR"/>
        </w:rPr>
      </w:pPr>
    </w:p>
    <w:tbl>
      <w:tblPr>
        <w:tblW w:w="9792" w:type="dxa"/>
        <w:tblInd w:w="-147" w:type="dxa"/>
        <w:tblLayout w:type="fixed"/>
        <w:tblCellMar>
          <w:left w:w="10" w:type="dxa"/>
          <w:right w:w="10" w:type="dxa"/>
        </w:tblCellMar>
        <w:tblLook w:val="04A0" w:firstRow="1" w:lastRow="0" w:firstColumn="1" w:lastColumn="0" w:noHBand="0" w:noVBand="1"/>
      </w:tblPr>
      <w:tblGrid>
        <w:gridCol w:w="3102"/>
        <w:gridCol w:w="2607"/>
        <w:gridCol w:w="2149"/>
        <w:gridCol w:w="1934"/>
      </w:tblGrid>
      <w:tr w:rsidR="008C1E14" w:rsidRPr="008C1E14" w:rsidTr="008C1E14">
        <w:tc>
          <w:tcPr>
            <w:tcW w:w="3102"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rsidR="008C1E14" w:rsidRPr="008C1E14" w:rsidRDefault="008C1E14" w:rsidP="008C1E14">
            <w:pPr>
              <w:spacing w:after="0" w:line="240" w:lineRule="auto"/>
              <w:jc w:val="center"/>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Sources</w:t>
            </w:r>
          </w:p>
        </w:tc>
        <w:tc>
          <w:tcPr>
            <w:tcW w:w="2607"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rsidR="008C1E14" w:rsidRPr="008C1E14" w:rsidRDefault="008C1E14" w:rsidP="008C1E14">
            <w:pPr>
              <w:spacing w:after="0" w:line="240" w:lineRule="auto"/>
              <w:jc w:val="center"/>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Types d’aide</w:t>
            </w:r>
          </w:p>
        </w:tc>
        <w:tc>
          <w:tcPr>
            <w:tcW w:w="2149"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rsidR="008C1E14" w:rsidRPr="008C1E14" w:rsidRDefault="008C1E14" w:rsidP="008C1E14">
            <w:pPr>
              <w:spacing w:after="0" w:line="240" w:lineRule="auto"/>
              <w:jc w:val="center"/>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Montant prévisionnel</w:t>
            </w:r>
          </w:p>
          <w:p w:rsidR="008C1E14" w:rsidRPr="008C1E14" w:rsidRDefault="008C1E14" w:rsidP="008C1E14">
            <w:pPr>
              <w:spacing w:after="0" w:line="240" w:lineRule="auto"/>
              <w:jc w:val="center"/>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HT</w:t>
            </w:r>
          </w:p>
        </w:tc>
        <w:tc>
          <w:tcPr>
            <w:tcW w:w="19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hideMark/>
          </w:tcPr>
          <w:p w:rsidR="008C1E14" w:rsidRPr="008C1E14" w:rsidRDefault="008C1E14" w:rsidP="008C1E14">
            <w:pPr>
              <w:spacing w:after="0" w:line="240" w:lineRule="auto"/>
              <w:jc w:val="center"/>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Taux</w:t>
            </w:r>
          </w:p>
        </w:tc>
      </w:tr>
      <w:tr w:rsidR="008C1E14" w:rsidRPr="008C1E14" w:rsidTr="008C1E14">
        <w:tc>
          <w:tcPr>
            <w:tcW w:w="9792"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
                <w:bCs/>
                <w:i/>
                <w:iCs/>
                <w:spacing w:val="1"/>
                <w:lang w:eastAsia="fr-FR"/>
              </w:rPr>
            </w:pPr>
            <w:r w:rsidRPr="008C1E14">
              <w:rPr>
                <w:rFonts w:ascii="Palatino Linotype" w:eastAsia="Times New Roman" w:hAnsi="Palatino Linotype" w:cs="Times New Roman"/>
                <w:b/>
                <w:bCs/>
                <w:i/>
                <w:iCs/>
                <w:spacing w:val="1"/>
                <w:lang w:eastAsia="fr-FR"/>
              </w:rPr>
              <w:t>Financements publics</w:t>
            </w:r>
          </w:p>
        </w:tc>
      </w:tr>
      <w:tr w:rsidR="008C1E14" w:rsidRPr="008C1E14" w:rsidTr="008C1E14">
        <w:tc>
          <w:tcPr>
            <w:tcW w:w="3102"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Etat</w:t>
            </w:r>
          </w:p>
        </w:tc>
        <w:tc>
          <w:tcPr>
            <w:tcW w:w="2607"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DETR</w:t>
            </w:r>
          </w:p>
        </w:tc>
        <w:tc>
          <w:tcPr>
            <w:tcW w:w="2149"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ind w:right="292"/>
              <w:jc w:val="right"/>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26 851.12 €</w:t>
            </w:r>
          </w:p>
        </w:tc>
        <w:tc>
          <w:tcPr>
            <w:tcW w:w="193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34.74 %</w:t>
            </w:r>
          </w:p>
        </w:tc>
      </w:tr>
      <w:tr w:rsidR="008C1E14" w:rsidRPr="008C1E14" w:rsidTr="008C1E14">
        <w:tc>
          <w:tcPr>
            <w:tcW w:w="3102"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Agence de l’Eau Rhône-Méditerranée-Corse</w:t>
            </w:r>
          </w:p>
        </w:tc>
        <w:tc>
          <w:tcPr>
            <w:tcW w:w="2607" w:type="dxa"/>
            <w:tcBorders>
              <w:top w:val="nil"/>
              <w:left w:val="single" w:sz="4" w:space="0" w:color="000000"/>
              <w:bottom w:val="single" w:sz="4" w:space="0" w:color="000000"/>
              <w:right w:val="nil"/>
            </w:tcBorders>
            <w:tcMar>
              <w:top w:w="55" w:type="dxa"/>
              <w:left w:w="55" w:type="dxa"/>
              <w:bottom w:w="55" w:type="dxa"/>
              <w:right w:w="55" w:type="dxa"/>
            </w:tcMar>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p>
        </w:tc>
        <w:tc>
          <w:tcPr>
            <w:tcW w:w="2149"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ind w:right="292"/>
              <w:jc w:val="right"/>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34 981.00 €</w:t>
            </w:r>
          </w:p>
        </w:tc>
        <w:tc>
          <w:tcPr>
            <w:tcW w:w="193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45.26 %</w:t>
            </w:r>
          </w:p>
        </w:tc>
      </w:tr>
      <w:tr w:rsidR="008C1E14" w:rsidRPr="008C1E14" w:rsidTr="008C1E14">
        <w:tc>
          <w:tcPr>
            <w:tcW w:w="9792" w:type="dxa"/>
            <w:gridSpan w:val="4"/>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
                <w:bCs/>
                <w:i/>
                <w:iCs/>
                <w:spacing w:val="1"/>
                <w:lang w:eastAsia="fr-FR"/>
              </w:rPr>
            </w:pPr>
            <w:proofErr w:type="spellStart"/>
            <w:r w:rsidRPr="008C1E14">
              <w:rPr>
                <w:rFonts w:ascii="Palatino Linotype" w:eastAsia="Times New Roman" w:hAnsi="Palatino Linotype" w:cs="Times New Roman"/>
                <w:b/>
                <w:bCs/>
                <w:i/>
                <w:iCs/>
                <w:spacing w:val="1"/>
                <w:lang w:eastAsia="fr-FR"/>
              </w:rPr>
              <w:t>Auto-financement</w:t>
            </w:r>
            <w:proofErr w:type="spellEnd"/>
          </w:p>
        </w:tc>
      </w:tr>
      <w:tr w:rsidR="008C1E14" w:rsidRPr="008C1E14" w:rsidTr="008C1E14">
        <w:tc>
          <w:tcPr>
            <w:tcW w:w="3102"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Fonds propres</w:t>
            </w:r>
          </w:p>
        </w:tc>
        <w:tc>
          <w:tcPr>
            <w:tcW w:w="2607" w:type="dxa"/>
            <w:tcBorders>
              <w:top w:val="nil"/>
              <w:left w:val="single" w:sz="4" w:space="0" w:color="000000"/>
              <w:bottom w:val="single" w:sz="4" w:space="0" w:color="000000"/>
              <w:right w:val="nil"/>
            </w:tcBorders>
            <w:tcMar>
              <w:top w:w="55" w:type="dxa"/>
              <w:left w:w="55" w:type="dxa"/>
              <w:bottom w:w="55" w:type="dxa"/>
              <w:right w:w="55" w:type="dxa"/>
            </w:tcMar>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p>
        </w:tc>
        <w:tc>
          <w:tcPr>
            <w:tcW w:w="2149"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ind w:right="292"/>
              <w:jc w:val="right"/>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15 459.53 €</w:t>
            </w:r>
          </w:p>
        </w:tc>
        <w:tc>
          <w:tcPr>
            <w:tcW w:w="193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20 %</w:t>
            </w:r>
          </w:p>
        </w:tc>
      </w:tr>
      <w:tr w:rsidR="008C1E14" w:rsidRPr="008C1E14" w:rsidTr="008C1E14">
        <w:tc>
          <w:tcPr>
            <w:tcW w:w="3102"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
                <w:bCs/>
                <w:spacing w:val="1"/>
                <w:lang w:eastAsia="fr-FR"/>
              </w:rPr>
            </w:pPr>
            <w:r w:rsidRPr="008C1E14">
              <w:rPr>
                <w:rFonts w:ascii="Palatino Linotype" w:eastAsia="Times New Roman" w:hAnsi="Palatino Linotype" w:cs="Times New Roman"/>
                <w:b/>
                <w:bCs/>
                <w:spacing w:val="1"/>
                <w:lang w:eastAsia="fr-FR"/>
              </w:rPr>
              <w:t>Total HT</w:t>
            </w:r>
          </w:p>
        </w:tc>
        <w:tc>
          <w:tcPr>
            <w:tcW w:w="2607" w:type="dxa"/>
            <w:tcBorders>
              <w:top w:val="nil"/>
              <w:left w:val="single" w:sz="4" w:space="0" w:color="000000"/>
              <w:bottom w:val="single" w:sz="4" w:space="0" w:color="000000"/>
              <w:right w:val="nil"/>
            </w:tcBorders>
            <w:tcMar>
              <w:top w:w="55" w:type="dxa"/>
              <w:left w:w="55" w:type="dxa"/>
              <w:bottom w:w="55" w:type="dxa"/>
              <w:right w:w="55" w:type="dxa"/>
            </w:tcMar>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p>
        </w:tc>
        <w:tc>
          <w:tcPr>
            <w:tcW w:w="2149" w:type="dxa"/>
            <w:tcBorders>
              <w:top w:val="nil"/>
              <w:left w:val="single" w:sz="4" w:space="0" w:color="000000"/>
              <w:bottom w:val="single" w:sz="4" w:space="0" w:color="000000"/>
              <w:right w:val="nil"/>
            </w:tcBorders>
            <w:tcMar>
              <w:top w:w="55" w:type="dxa"/>
              <w:left w:w="55" w:type="dxa"/>
              <w:bottom w:w="55" w:type="dxa"/>
              <w:right w:w="55" w:type="dxa"/>
            </w:tcMar>
            <w:hideMark/>
          </w:tcPr>
          <w:p w:rsidR="008C1E14" w:rsidRPr="008C1E14" w:rsidRDefault="008C1E14" w:rsidP="008C1E14">
            <w:pPr>
              <w:spacing w:after="0" w:line="240" w:lineRule="auto"/>
              <w:ind w:right="292"/>
              <w:jc w:val="right"/>
              <w:rPr>
                <w:rFonts w:ascii="Palatino Linotype" w:eastAsia="Times New Roman" w:hAnsi="Palatino Linotype" w:cs="Times New Roman"/>
                <w:b/>
                <w:spacing w:val="1"/>
                <w:lang w:eastAsia="fr-FR"/>
              </w:rPr>
            </w:pPr>
            <w:r w:rsidRPr="008C1E14">
              <w:rPr>
                <w:rFonts w:ascii="Palatino Linotype" w:eastAsia="Times New Roman" w:hAnsi="Palatino Linotype" w:cs="Times New Roman"/>
                <w:b/>
                <w:spacing w:val="1"/>
                <w:lang w:eastAsia="fr-FR"/>
              </w:rPr>
              <w:t>77 291.65 €</w:t>
            </w:r>
          </w:p>
        </w:tc>
        <w:tc>
          <w:tcPr>
            <w:tcW w:w="1934" w:type="dxa"/>
            <w:tcBorders>
              <w:top w:val="nil"/>
              <w:left w:val="single" w:sz="4" w:space="0" w:color="000000"/>
              <w:bottom w:val="single" w:sz="4" w:space="0" w:color="000000"/>
              <w:right w:val="single" w:sz="4" w:space="0" w:color="000000"/>
            </w:tcBorders>
            <w:tcMar>
              <w:top w:w="55" w:type="dxa"/>
              <w:left w:w="55" w:type="dxa"/>
              <w:bottom w:w="55" w:type="dxa"/>
              <w:right w:w="55" w:type="dxa"/>
            </w:tcMar>
            <w:hideMark/>
          </w:tcPr>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100%</w:t>
            </w:r>
          </w:p>
        </w:tc>
      </w:tr>
    </w:tbl>
    <w:p w:rsidR="008C1E14" w:rsidRPr="008C1E14" w:rsidRDefault="008C1E14" w:rsidP="008C1E14">
      <w:pPr>
        <w:spacing w:after="0" w:line="240" w:lineRule="auto"/>
        <w:rPr>
          <w:rFonts w:ascii="Times New Roman" w:eastAsia="Times New Roman" w:hAnsi="Times New Roman" w:cs="Times New Roman"/>
          <w:bCs/>
          <w:spacing w:val="1"/>
          <w:sz w:val="24"/>
          <w:szCs w:val="24"/>
          <w:lang w:eastAsia="fr-FR"/>
        </w:rPr>
      </w:pPr>
    </w:p>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u w:val="single"/>
          <w:lang w:eastAsia="fr-FR"/>
        </w:rPr>
        <w:t>L’échéancier</w:t>
      </w:r>
      <w:r w:rsidRPr="008C1E14">
        <w:rPr>
          <w:rFonts w:ascii="Palatino Linotype" w:eastAsia="Times New Roman" w:hAnsi="Palatino Linotype" w:cs="Times New Roman"/>
          <w:bCs/>
          <w:spacing w:val="1"/>
          <w:lang w:eastAsia="fr-FR"/>
        </w:rPr>
        <w:t xml:space="preserve"> de réalisation de ce projet est le suivant :</w:t>
      </w:r>
    </w:p>
    <w:p w:rsidR="008C1E14" w:rsidRPr="008C1E14" w:rsidRDefault="008C1E14" w:rsidP="008C1E14">
      <w:pPr>
        <w:spacing w:after="0" w:line="240" w:lineRule="auto"/>
        <w:rPr>
          <w:rFonts w:ascii="Palatino Linotype" w:eastAsia="Times New Roman" w:hAnsi="Palatino Linotype" w:cs="Times New Roman"/>
          <w:bCs/>
          <w:spacing w:val="1"/>
          <w:sz w:val="16"/>
          <w:szCs w:val="16"/>
          <w:lang w:eastAsia="fr-FR"/>
        </w:rPr>
      </w:pPr>
    </w:p>
    <w:p w:rsidR="008C1E14" w:rsidRPr="008C1E14" w:rsidRDefault="008C1E14" w:rsidP="008C1E14">
      <w:pPr>
        <w:spacing w:after="0" w:line="240" w:lineRule="auto"/>
        <w:ind w:left="426"/>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Date de lancement de l’appel d’offre : 1</w:t>
      </w:r>
      <w:r w:rsidRPr="008C1E14">
        <w:rPr>
          <w:rFonts w:ascii="Palatino Linotype" w:eastAsia="Times New Roman" w:hAnsi="Palatino Linotype" w:cs="Times New Roman"/>
          <w:bCs/>
          <w:spacing w:val="1"/>
          <w:vertAlign w:val="superscript"/>
          <w:lang w:eastAsia="fr-FR"/>
        </w:rPr>
        <w:t>er</w:t>
      </w:r>
      <w:r w:rsidRPr="008C1E14">
        <w:rPr>
          <w:rFonts w:ascii="Palatino Linotype" w:eastAsia="Times New Roman" w:hAnsi="Palatino Linotype" w:cs="Times New Roman"/>
          <w:bCs/>
          <w:spacing w:val="1"/>
          <w:lang w:eastAsia="fr-FR"/>
        </w:rPr>
        <w:t xml:space="preserve"> semestre 2025</w:t>
      </w:r>
    </w:p>
    <w:p w:rsidR="008C1E14" w:rsidRPr="008C1E14" w:rsidRDefault="008C1E14" w:rsidP="008C1E14">
      <w:pPr>
        <w:spacing w:after="0" w:line="240" w:lineRule="auto"/>
        <w:ind w:left="426"/>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Date prévisionnelle de démarrage de l’opération : 2</w:t>
      </w:r>
      <w:r w:rsidRPr="008C1E14">
        <w:rPr>
          <w:rFonts w:ascii="Palatino Linotype" w:eastAsia="Times New Roman" w:hAnsi="Palatino Linotype" w:cs="Times New Roman"/>
          <w:bCs/>
          <w:spacing w:val="1"/>
          <w:vertAlign w:val="superscript"/>
          <w:lang w:eastAsia="fr-FR"/>
        </w:rPr>
        <w:t>ème</w:t>
      </w:r>
      <w:r w:rsidRPr="008C1E14">
        <w:rPr>
          <w:rFonts w:ascii="Palatino Linotype" w:eastAsia="Times New Roman" w:hAnsi="Palatino Linotype" w:cs="Times New Roman"/>
          <w:bCs/>
          <w:spacing w:val="1"/>
          <w:lang w:eastAsia="fr-FR"/>
        </w:rPr>
        <w:t xml:space="preserve"> semestre 2025</w:t>
      </w:r>
    </w:p>
    <w:p w:rsidR="008C1E14" w:rsidRPr="008C1E14" w:rsidRDefault="008C1E14" w:rsidP="008C1E14">
      <w:pPr>
        <w:spacing w:after="0" w:line="240" w:lineRule="auto"/>
        <w:ind w:left="426"/>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Date prévisionnelle de fin de l’opération : 31/12/2025</w:t>
      </w:r>
    </w:p>
    <w:p w:rsidR="008C1E14" w:rsidRPr="008C1E14" w:rsidRDefault="008C1E14" w:rsidP="008C1E14">
      <w:pPr>
        <w:spacing w:after="0" w:line="240" w:lineRule="auto"/>
        <w:rPr>
          <w:rFonts w:ascii="Palatino Linotype" w:eastAsia="Times New Roman" w:hAnsi="Palatino Linotype" w:cs="Times New Roman"/>
          <w:bCs/>
          <w:spacing w:val="1"/>
          <w:sz w:val="16"/>
          <w:szCs w:val="16"/>
          <w:lang w:eastAsia="fr-FR"/>
        </w:rPr>
      </w:pPr>
    </w:p>
    <w:p w:rsidR="008C1E14" w:rsidRPr="008C1E14" w:rsidRDefault="008C1E14" w:rsidP="008C1E14">
      <w:pPr>
        <w:spacing w:after="0" w:line="240" w:lineRule="auto"/>
        <w:rPr>
          <w:rFonts w:ascii="Palatino Linotype" w:eastAsia="Times New Roman" w:hAnsi="Palatino Linotype" w:cs="Times New Roman"/>
          <w:bCs/>
          <w:spacing w:val="1"/>
          <w:lang w:eastAsia="fr-FR"/>
        </w:rPr>
      </w:pPr>
      <w:r w:rsidRPr="008C1E14">
        <w:rPr>
          <w:rFonts w:ascii="Palatino Linotype" w:eastAsia="Times New Roman" w:hAnsi="Palatino Linotype" w:cs="Times New Roman"/>
          <w:bCs/>
          <w:spacing w:val="1"/>
          <w:lang w:eastAsia="fr-FR"/>
        </w:rPr>
        <w:t xml:space="preserve">Après en avoir délibéré, le Conseil Syndical, à l’unanimité ; </w:t>
      </w:r>
    </w:p>
    <w:p w:rsidR="008C1E14" w:rsidRPr="008C1E14" w:rsidRDefault="008C1E14" w:rsidP="008C1E14">
      <w:pPr>
        <w:spacing w:after="0" w:line="240" w:lineRule="auto"/>
        <w:rPr>
          <w:rFonts w:ascii="Palatino Linotype" w:eastAsia="Times New Roman" w:hAnsi="Palatino Linotype" w:cs="Times New Roman"/>
          <w:bCs/>
          <w:spacing w:val="1"/>
          <w:sz w:val="16"/>
          <w:szCs w:val="16"/>
          <w:lang w:eastAsia="fr-FR"/>
        </w:rPr>
      </w:pPr>
    </w:p>
    <w:p w:rsidR="008C1E14" w:rsidRPr="008C1E14" w:rsidRDefault="008C1E14" w:rsidP="008C1E14">
      <w:pPr>
        <w:numPr>
          <w:ilvl w:val="0"/>
          <w:numId w:val="13"/>
        </w:numPr>
        <w:spacing w:after="0" w:line="240" w:lineRule="auto"/>
        <w:contextualSpacing/>
        <w:rPr>
          <w:rFonts w:ascii="Palatino Linotype" w:hAnsi="Palatino Linotype" w:cs="Times New Roman"/>
          <w:bCs/>
          <w:spacing w:val="1"/>
        </w:rPr>
      </w:pPr>
      <w:r w:rsidRPr="008C1E14">
        <w:rPr>
          <w:rFonts w:ascii="Palatino Linotype" w:hAnsi="Palatino Linotype" w:cs="Times New Roman"/>
          <w:b/>
          <w:spacing w:val="1"/>
        </w:rPr>
        <w:t>APPROUVE</w:t>
      </w:r>
      <w:r w:rsidRPr="008C1E14">
        <w:rPr>
          <w:rFonts w:ascii="Palatino Linotype" w:hAnsi="Palatino Linotype" w:cs="Times New Roman"/>
          <w:bCs/>
          <w:spacing w:val="1"/>
        </w:rPr>
        <w:t xml:space="preserve"> la réalisation du projet présenté estimé à 77 291.65 € HT</w:t>
      </w:r>
    </w:p>
    <w:p w:rsidR="008C1E14" w:rsidRPr="008C1E14" w:rsidRDefault="008C1E14" w:rsidP="008C1E14">
      <w:pPr>
        <w:spacing w:after="0" w:line="240" w:lineRule="auto"/>
        <w:ind w:left="720"/>
        <w:contextualSpacing/>
        <w:rPr>
          <w:rFonts w:ascii="Palatino Linotype" w:hAnsi="Palatino Linotype" w:cs="Times New Roman"/>
          <w:bCs/>
          <w:spacing w:val="1"/>
        </w:rPr>
      </w:pPr>
    </w:p>
    <w:p w:rsidR="008C1E14" w:rsidRPr="008C1E14" w:rsidRDefault="008C1E14" w:rsidP="008C1E14">
      <w:pPr>
        <w:numPr>
          <w:ilvl w:val="0"/>
          <w:numId w:val="13"/>
        </w:numPr>
        <w:spacing w:after="0" w:line="240" w:lineRule="auto"/>
        <w:contextualSpacing/>
        <w:rPr>
          <w:rFonts w:ascii="Palatino Linotype" w:hAnsi="Palatino Linotype" w:cs="Times New Roman"/>
          <w:bCs/>
          <w:spacing w:val="1"/>
        </w:rPr>
      </w:pPr>
      <w:r w:rsidRPr="008C1E14">
        <w:rPr>
          <w:rFonts w:ascii="Palatino Linotype" w:hAnsi="Palatino Linotype" w:cs="Times New Roman"/>
          <w:b/>
          <w:spacing w:val="1"/>
        </w:rPr>
        <w:t>APPROUVE</w:t>
      </w:r>
      <w:r w:rsidRPr="008C1E14">
        <w:rPr>
          <w:rFonts w:ascii="Palatino Linotype" w:hAnsi="Palatino Linotype" w:cs="Times New Roman"/>
          <w:bCs/>
          <w:spacing w:val="1"/>
        </w:rPr>
        <w:t xml:space="preserve"> le plan de financement exposé</w:t>
      </w:r>
    </w:p>
    <w:p w:rsidR="008C1E14" w:rsidRPr="008C1E14" w:rsidRDefault="008C1E14" w:rsidP="008C1E14">
      <w:pPr>
        <w:spacing w:after="0" w:line="240" w:lineRule="auto"/>
        <w:ind w:left="720"/>
        <w:contextualSpacing/>
        <w:rPr>
          <w:rFonts w:ascii="Palatino Linotype" w:hAnsi="Palatino Linotype" w:cs="Times New Roman"/>
          <w:bCs/>
          <w:spacing w:val="1"/>
        </w:rPr>
      </w:pPr>
    </w:p>
    <w:p w:rsidR="008C1E14" w:rsidRPr="00EA5D9E" w:rsidRDefault="008C1E14" w:rsidP="008C1E14">
      <w:pPr>
        <w:numPr>
          <w:ilvl w:val="0"/>
          <w:numId w:val="13"/>
        </w:numPr>
        <w:spacing w:after="0" w:line="240" w:lineRule="auto"/>
        <w:jc w:val="both"/>
        <w:rPr>
          <w:rFonts w:ascii="Palatino Linotype" w:eastAsia="Times New Roman" w:hAnsi="Palatino Linotype" w:cs="Calibri"/>
          <w:color w:val="000000"/>
          <w:lang w:eastAsia="fr-FR"/>
        </w:rPr>
      </w:pPr>
      <w:r w:rsidRPr="008C1E14">
        <w:rPr>
          <w:rFonts w:ascii="Palatino Linotype" w:hAnsi="Palatino Linotype" w:cs="Times New Roman"/>
          <w:b/>
          <w:spacing w:val="1"/>
        </w:rPr>
        <w:t>AUTORISE</w:t>
      </w:r>
      <w:r w:rsidRPr="008C1E14">
        <w:rPr>
          <w:rFonts w:ascii="Palatino Linotype" w:hAnsi="Palatino Linotype" w:cs="Times New Roman"/>
          <w:bCs/>
          <w:spacing w:val="1"/>
        </w:rPr>
        <w:t xml:space="preserve"> le Président à solliciter une subvention de l’État au titre de la DETR et des subventions auprès des </w:t>
      </w:r>
      <w:proofErr w:type="spellStart"/>
      <w:r w:rsidRPr="008C1E14">
        <w:rPr>
          <w:rFonts w:ascii="Palatino Linotype" w:hAnsi="Palatino Linotype" w:cs="Times New Roman"/>
          <w:bCs/>
          <w:spacing w:val="1"/>
        </w:rPr>
        <w:t>co</w:t>
      </w:r>
      <w:proofErr w:type="spellEnd"/>
      <w:r w:rsidRPr="008C1E14">
        <w:rPr>
          <w:rFonts w:ascii="Palatino Linotype" w:hAnsi="Palatino Linotype" w:cs="Times New Roman"/>
          <w:bCs/>
          <w:spacing w:val="1"/>
        </w:rPr>
        <w:t>-financeurs mentionnés dans le plan de financement.</w:t>
      </w:r>
    </w:p>
    <w:p w:rsidR="00EA5D9E" w:rsidRDefault="00EA5D9E" w:rsidP="00EA5D9E">
      <w:pPr>
        <w:pStyle w:val="Paragraphedeliste"/>
        <w:rPr>
          <w:rFonts w:ascii="Palatino Linotype" w:eastAsia="Times New Roman" w:hAnsi="Palatino Linotype" w:cs="Calibri"/>
          <w:color w:val="000000"/>
          <w:lang w:eastAsia="fr-FR"/>
        </w:rPr>
      </w:pPr>
    </w:p>
    <w:p w:rsidR="00EA5D9E" w:rsidRDefault="00EA5D9E" w:rsidP="00EA5D9E">
      <w:pPr>
        <w:pStyle w:val="Paragraphedeliste"/>
        <w:rPr>
          <w:rFonts w:ascii="Palatino Linotype" w:eastAsia="Times New Roman" w:hAnsi="Palatino Linotype" w:cs="Calibri"/>
          <w:color w:val="000000"/>
          <w:lang w:eastAsia="fr-FR"/>
        </w:rPr>
      </w:pPr>
    </w:p>
    <w:p w:rsidR="00EA5D9E" w:rsidRDefault="00EA5D9E" w:rsidP="00EA5D9E">
      <w:pPr>
        <w:spacing w:after="0" w:line="240" w:lineRule="auto"/>
        <w:ind w:left="720"/>
        <w:jc w:val="both"/>
        <w:rPr>
          <w:rFonts w:ascii="Palatino Linotype" w:eastAsia="Times New Roman" w:hAnsi="Palatino Linotype" w:cs="Calibri"/>
          <w:color w:val="000000"/>
          <w:lang w:eastAsia="fr-FR"/>
        </w:rPr>
      </w:pPr>
    </w:p>
    <w:p w:rsidR="00EB635C" w:rsidRPr="008C1E14" w:rsidRDefault="00EB635C" w:rsidP="00EA5D9E">
      <w:pPr>
        <w:spacing w:after="0" w:line="240" w:lineRule="auto"/>
        <w:ind w:left="720"/>
        <w:jc w:val="both"/>
        <w:rPr>
          <w:rFonts w:ascii="Palatino Linotype" w:eastAsia="Times New Roman" w:hAnsi="Palatino Linotype" w:cs="Calibri"/>
          <w:color w:val="000000"/>
          <w:lang w:eastAsia="fr-FR"/>
        </w:rPr>
      </w:pPr>
    </w:p>
    <w:p w:rsidR="00EA5D9E" w:rsidRPr="008C1E14" w:rsidRDefault="00EA5D9E" w:rsidP="00EA5D9E">
      <w:pPr>
        <w:pStyle w:val="Paragraphedeliste"/>
        <w:pBdr>
          <w:top w:val="single" w:sz="4" w:space="1" w:color="auto"/>
          <w:left w:val="single" w:sz="4" w:space="31" w:color="auto"/>
          <w:bottom w:val="single" w:sz="4" w:space="1" w:color="auto"/>
          <w:right w:val="single" w:sz="4" w:space="4" w:color="auto"/>
        </w:pBdr>
        <w:tabs>
          <w:tab w:val="left" w:pos="7088"/>
        </w:tabs>
        <w:jc w:val="center"/>
        <w:rPr>
          <w:rFonts w:ascii="Palatino Linotype" w:hAnsi="Palatino Linotype" w:cs="Calibri"/>
          <w:b/>
          <w:color w:val="000000"/>
          <w:sz w:val="24"/>
          <w:szCs w:val="24"/>
        </w:rPr>
      </w:pPr>
      <w:r>
        <w:rPr>
          <w:rFonts w:ascii="Palatino Linotype" w:hAnsi="Palatino Linotype" w:cs="Calibri"/>
          <w:b/>
          <w:color w:val="000000"/>
          <w:sz w:val="24"/>
          <w:szCs w:val="24"/>
        </w:rPr>
        <w:lastRenderedPageBreak/>
        <w:t>PARTICIPATION PROTECTION SOCIALE « SANTE »</w:t>
      </w:r>
    </w:p>
    <w:p w:rsidR="008C1E14" w:rsidRPr="008C1E14" w:rsidRDefault="008C1E14" w:rsidP="008C1E14">
      <w:pPr>
        <w:spacing w:after="0" w:line="240" w:lineRule="auto"/>
        <w:jc w:val="both"/>
        <w:rPr>
          <w:rFonts w:ascii="Palatino Linotype" w:eastAsia="Times New Roman" w:hAnsi="Palatino Linotype" w:cs="Calibri"/>
          <w:color w:val="000000"/>
          <w:lang w:eastAsia="fr-FR"/>
        </w:rPr>
      </w:pPr>
    </w:p>
    <w:p w:rsidR="008C1E14" w:rsidRPr="008C1E14" w:rsidRDefault="008C1E14" w:rsidP="008C1E14">
      <w:pPr>
        <w:numPr>
          <w:ilvl w:val="0"/>
          <w:numId w:val="18"/>
        </w:numPr>
        <w:spacing w:after="200" w:line="276" w:lineRule="auto"/>
        <w:contextualSpacing/>
        <w:rPr>
          <w:rFonts w:ascii="Palatino Linotype" w:hAnsi="Palatino Linotype"/>
        </w:rPr>
      </w:pPr>
      <w:r w:rsidRPr="008C1E14">
        <w:rPr>
          <w:rFonts w:ascii="Palatino Linotype" w:hAnsi="Palatino Linotype"/>
        </w:rPr>
        <w:t xml:space="preserve">Vu le code général des collectivités territoriales, </w:t>
      </w:r>
    </w:p>
    <w:p w:rsidR="008C1E14" w:rsidRPr="00EA5D9E" w:rsidRDefault="008C1E14" w:rsidP="008C1E14">
      <w:pPr>
        <w:numPr>
          <w:ilvl w:val="0"/>
          <w:numId w:val="18"/>
        </w:numPr>
        <w:spacing w:after="200" w:line="276" w:lineRule="auto"/>
        <w:contextualSpacing/>
        <w:rPr>
          <w:rFonts w:ascii="Palatino Linotype" w:hAnsi="Palatino Linotype"/>
        </w:rPr>
      </w:pPr>
      <w:r w:rsidRPr="008C1E14">
        <w:rPr>
          <w:rFonts w:ascii="Palatino Linotype" w:hAnsi="Palatino Linotype"/>
        </w:rPr>
        <w:t>Vu les articles L 827-1 et suivants du code général de la fonction publique relatifs à la protection sociale complémentaire,</w:t>
      </w:r>
    </w:p>
    <w:p w:rsidR="008C1E14" w:rsidRPr="008C1E14" w:rsidRDefault="008C1E14" w:rsidP="008C1E14">
      <w:pPr>
        <w:numPr>
          <w:ilvl w:val="0"/>
          <w:numId w:val="18"/>
        </w:numPr>
        <w:spacing w:after="200" w:line="276" w:lineRule="auto"/>
        <w:contextualSpacing/>
        <w:rPr>
          <w:rFonts w:ascii="Palatino Linotype" w:hAnsi="Palatino Linotype"/>
        </w:rPr>
      </w:pPr>
      <w:r w:rsidRPr="008C1E14">
        <w:rPr>
          <w:rFonts w:ascii="Palatino Linotype" w:hAnsi="Palatino Linotype"/>
        </w:rPr>
        <w:t>Vu le décret n° 2011-1474 du 8 novembre 2011 relatif à la participation des collectivités territoriales et de leurs établissements publics au financement de la protection sociale complémentaire de leurs agents et les quatre arrêtés d’application du 8 novembre 2011,</w:t>
      </w:r>
    </w:p>
    <w:p w:rsidR="008C1E14" w:rsidRPr="008C1E14" w:rsidRDefault="008C1E14" w:rsidP="008C1E14">
      <w:pPr>
        <w:numPr>
          <w:ilvl w:val="0"/>
          <w:numId w:val="18"/>
        </w:numPr>
        <w:spacing w:after="200" w:line="276" w:lineRule="auto"/>
        <w:contextualSpacing/>
        <w:rPr>
          <w:rFonts w:ascii="Palatino Linotype" w:hAnsi="Palatino Linotype"/>
        </w:rPr>
      </w:pPr>
      <w:r w:rsidRPr="008C1E14">
        <w:rPr>
          <w:rFonts w:ascii="Palatino Linotype" w:hAnsi="Palatino Linotype"/>
        </w:rPr>
        <w:t>Vu l’avis du comité social territorial du 19 novembre 2024</w:t>
      </w:r>
      <w:r w:rsidRPr="008C1E14">
        <w:rPr>
          <w:rFonts w:ascii="Palatino Linotype" w:hAnsi="Palatino Linotype"/>
          <w:color w:val="000000" w:themeColor="text1"/>
        </w:rPr>
        <w:t>, pris sur la base de l’article 4 du décret n°2011-1474 précité,</w:t>
      </w:r>
    </w:p>
    <w:p w:rsidR="008C1E14" w:rsidRPr="008C1E14" w:rsidRDefault="008C1E14" w:rsidP="008C1E14">
      <w:pPr>
        <w:suppressAutoHyphens/>
        <w:spacing w:after="0" w:line="240" w:lineRule="auto"/>
        <w:ind w:left="-142"/>
        <w:jc w:val="both"/>
        <w:rPr>
          <w:rFonts w:ascii="Palatino Linotype" w:eastAsia="Times New Roman" w:hAnsi="Palatino Linotype" w:cs="Calibri"/>
          <w:b/>
          <w:lang w:eastAsia="ar-SA"/>
        </w:rPr>
      </w:pPr>
      <w:r w:rsidRPr="008C1E14">
        <w:rPr>
          <w:rFonts w:ascii="Palatino Linotype" w:eastAsia="Times New Roman" w:hAnsi="Palatino Linotype" w:cs="Calibri"/>
          <w:b/>
          <w:u w:val="single"/>
          <w:lang w:eastAsia="ar-SA"/>
        </w:rPr>
        <w:t>Exposé</w:t>
      </w:r>
      <w:r w:rsidRPr="008C1E14">
        <w:rPr>
          <w:rFonts w:ascii="Palatino Linotype" w:eastAsia="Times New Roman" w:hAnsi="Palatino Linotype" w:cs="Calibri"/>
          <w:b/>
          <w:lang w:eastAsia="ar-SA"/>
        </w:rPr>
        <w:t> :</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Les employeurs publics territoriaux peuvent contribuer au financement des garanties d’assurance de protection sociale complémentaire auxquelles les agents qu'ils emploient souscrivent. Ces garanties ont pour objet de couvrir :</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p>
    <w:p w:rsidR="008C1E14" w:rsidRPr="008C1E14" w:rsidRDefault="008C1E14" w:rsidP="008C1E14">
      <w:pPr>
        <w:numPr>
          <w:ilvl w:val="0"/>
          <w:numId w:val="15"/>
        </w:numPr>
        <w:suppressAutoHyphens/>
        <w:spacing w:after="0" w:line="276" w:lineRule="auto"/>
        <w:contextualSpacing/>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 xml:space="preserve">Le </w:t>
      </w:r>
      <w:r w:rsidRPr="008C1E14">
        <w:rPr>
          <w:rFonts w:ascii="Palatino Linotype" w:eastAsia="Times New Roman" w:hAnsi="Palatino Linotype" w:cs="Calibri"/>
          <w:b/>
          <w:lang w:eastAsia="ar-SA"/>
        </w:rPr>
        <w:t>risque santé</w:t>
      </w:r>
      <w:r w:rsidRPr="008C1E14">
        <w:rPr>
          <w:rFonts w:ascii="Palatino Linotype" w:eastAsia="Times New Roman" w:hAnsi="Palatino Linotype" w:cs="Calibri"/>
          <w:lang w:eastAsia="ar-SA"/>
        </w:rPr>
        <w:t> : frais occasionnés par une maternité, une maladie ou un accident,</w:t>
      </w:r>
    </w:p>
    <w:p w:rsidR="008C1E14" w:rsidRPr="008C1E14" w:rsidRDefault="008C1E14" w:rsidP="008C1E14">
      <w:pPr>
        <w:numPr>
          <w:ilvl w:val="0"/>
          <w:numId w:val="15"/>
        </w:numPr>
        <w:suppressAutoHyphens/>
        <w:spacing w:after="0" w:line="276" w:lineRule="auto"/>
        <w:contextualSpacing/>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 xml:space="preserve">Le </w:t>
      </w:r>
      <w:r w:rsidRPr="008C1E14">
        <w:rPr>
          <w:rFonts w:ascii="Palatino Linotype" w:eastAsia="Times New Roman" w:hAnsi="Palatino Linotype" w:cs="Calibri"/>
          <w:b/>
          <w:lang w:eastAsia="ar-SA"/>
        </w:rPr>
        <w:t>risque prévoyance</w:t>
      </w:r>
      <w:r w:rsidRPr="008C1E14">
        <w:rPr>
          <w:rFonts w:ascii="Palatino Linotype" w:eastAsia="Times New Roman" w:hAnsi="Palatino Linotype" w:cs="Calibri"/>
          <w:lang w:eastAsia="ar-SA"/>
        </w:rPr>
        <w:t> : incapacité de travail, invalidité, inaptitude ou décès.</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Cette participation deviendra obligatoire pour le risque prévoyance à effet du 1er janvier 2025 selon un minimum de 7€ brut mensuel, et pour le risque santé à effet du 1</w:t>
      </w:r>
      <w:r w:rsidRPr="008C1E14">
        <w:rPr>
          <w:rFonts w:ascii="Palatino Linotype" w:eastAsia="Times New Roman" w:hAnsi="Palatino Linotype" w:cs="Calibri"/>
          <w:vertAlign w:val="superscript"/>
          <w:lang w:eastAsia="ar-SA"/>
        </w:rPr>
        <w:t>er</w:t>
      </w:r>
      <w:r w:rsidRPr="008C1E14">
        <w:rPr>
          <w:rFonts w:ascii="Palatino Linotype" w:eastAsia="Times New Roman" w:hAnsi="Palatino Linotype" w:cs="Calibri"/>
          <w:lang w:eastAsia="ar-SA"/>
        </w:rPr>
        <w:t xml:space="preserve"> janvier 2026 selon un minimum de 15€ brut mensuel. Ces montants pourraient être revus selon la clause de réexamen prévue à l’article 8 du décret n°2022-581 du 20 avril 2022 et les conclusions issues de l’accord de méthode du 12 juillet 2022 relatif à la conduite des négociations relatives à la protection sociale complémentaire dans la fonction publique territoriale.</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La participation peut être accordée pour l'un ou l'autre des risques santé ou prévoyance, ou pour les deux. L'employeur peut opter, pour chacun des risques :</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p>
    <w:p w:rsidR="008C1E14" w:rsidRPr="008C1E14" w:rsidRDefault="008C1E14" w:rsidP="008C1E14">
      <w:pPr>
        <w:numPr>
          <w:ilvl w:val="0"/>
          <w:numId w:val="14"/>
        </w:numPr>
        <w:suppressAutoHyphens/>
        <w:spacing w:after="0" w:line="276" w:lineRule="auto"/>
        <w:jc w:val="both"/>
        <w:rPr>
          <w:rFonts w:ascii="Palatino Linotype" w:eastAsia="Times New Roman" w:hAnsi="Palatino Linotype" w:cs="Calibri"/>
          <w:lang w:eastAsia="ar-SA"/>
        </w:rPr>
      </w:pPr>
      <w:proofErr w:type="gramStart"/>
      <w:r w:rsidRPr="008C1E14">
        <w:rPr>
          <w:rFonts w:ascii="Palatino Linotype" w:eastAsia="Times New Roman" w:hAnsi="Palatino Linotype" w:cs="Calibri"/>
          <w:lang w:eastAsia="ar-SA"/>
        </w:rPr>
        <w:t>soit</w:t>
      </w:r>
      <w:proofErr w:type="gramEnd"/>
      <w:r w:rsidRPr="008C1E14">
        <w:rPr>
          <w:rFonts w:ascii="Palatino Linotype" w:eastAsia="Times New Roman" w:hAnsi="Palatino Linotype" w:cs="Calibri"/>
          <w:lang w:eastAsia="ar-SA"/>
        </w:rPr>
        <w:t xml:space="preserve"> pour la </w:t>
      </w:r>
      <w:r w:rsidRPr="008C1E14">
        <w:rPr>
          <w:rFonts w:ascii="Palatino Linotype" w:eastAsia="Times New Roman" w:hAnsi="Palatino Linotype" w:cs="Calibri"/>
          <w:b/>
          <w:lang w:eastAsia="ar-SA"/>
        </w:rPr>
        <w:t>labellisation</w:t>
      </w:r>
      <w:r w:rsidRPr="008C1E14">
        <w:rPr>
          <w:rFonts w:ascii="Palatino Linotype" w:eastAsia="Times New Roman" w:hAnsi="Palatino Linotype" w:cs="Calibri"/>
          <w:lang w:eastAsia="ar-SA"/>
        </w:rPr>
        <w:t>. Dans ce cas, l'employeur verse une participation aux agents qui ont adhéré à l'un des produits labellisés, parmi ceux mentionnés sur la liste publiée sur le site internet du ministère chargé des collectivités territoriales,</w:t>
      </w:r>
    </w:p>
    <w:p w:rsidR="008C1E14" w:rsidRPr="008C1E14" w:rsidRDefault="008C1E14" w:rsidP="008C1E14">
      <w:pPr>
        <w:numPr>
          <w:ilvl w:val="0"/>
          <w:numId w:val="14"/>
        </w:numPr>
        <w:suppressAutoHyphens/>
        <w:spacing w:after="0" w:line="276" w:lineRule="auto"/>
        <w:jc w:val="both"/>
        <w:rPr>
          <w:rFonts w:ascii="Palatino Linotype" w:eastAsia="Times New Roman" w:hAnsi="Palatino Linotype" w:cs="Calibri"/>
          <w:lang w:eastAsia="ar-SA"/>
        </w:rPr>
      </w:pPr>
      <w:proofErr w:type="gramStart"/>
      <w:r w:rsidRPr="008C1E14">
        <w:rPr>
          <w:rFonts w:ascii="Palatino Linotype" w:eastAsia="Times New Roman" w:hAnsi="Palatino Linotype" w:cs="Calibri"/>
          <w:lang w:eastAsia="ar-SA"/>
        </w:rPr>
        <w:t>soit</w:t>
      </w:r>
      <w:proofErr w:type="gramEnd"/>
      <w:r w:rsidRPr="008C1E14">
        <w:rPr>
          <w:rFonts w:ascii="Palatino Linotype" w:eastAsia="Times New Roman" w:hAnsi="Palatino Linotype" w:cs="Calibri"/>
          <w:lang w:eastAsia="ar-SA"/>
        </w:rPr>
        <w:t xml:space="preserve"> pour la </w:t>
      </w:r>
      <w:r w:rsidRPr="008C1E14">
        <w:rPr>
          <w:rFonts w:ascii="Palatino Linotype" w:eastAsia="Times New Roman" w:hAnsi="Palatino Linotype" w:cs="Calibri"/>
          <w:b/>
          <w:lang w:eastAsia="ar-SA"/>
        </w:rPr>
        <w:t>convention de participation,</w:t>
      </w:r>
      <w:r w:rsidRPr="008C1E14">
        <w:rPr>
          <w:rFonts w:ascii="Palatino Linotype" w:eastAsia="Times New Roman" w:hAnsi="Palatino Linotype" w:cs="Calibri"/>
          <w:lang w:eastAsia="ar-SA"/>
        </w:rPr>
        <w:t xml:space="preserve"> associée à un contrat collectif d'assurance, conclue à l'issue d'une procédure d'appel à concurrence spécifique (définie par le décret précité et non soumis à la réglementation relative aux marchés publics), avec un organisme d'assurance bénéficiant de la qualité de mutuelle ou d'union de mutuelles, d'institution de prévoyance ou de société d'assurance. Cette consultation est réalisée :</w:t>
      </w:r>
    </w:p>
    <w:p w:rsidR="008C1E14" w:rsidRPr="008C1E14" w:rsidRDefault="008C1E14" w:rsidP="008C1E14">
      <w:pPr>
        <w:suppressAutoHyphens/>
        <w:spacing w:after="0" w:line="276" w:lineRule="auto"/>
        <w:ind w:left="720"/>
        <w:jc w:val="both"/>
        <w:rPr>
          <w:rFonts w:ascii="Palatino Linotype" w:eastAsia="Times New Roman" w:hAnsi="Palatino Linotype" w:cs="Calibri"/>
          <w:sz w:val="10"/>
          <w:szCs w:val="10"/>
          <w:lang w:eastAsia="ar-SA"/>
        </w:rPr>
      </w:pPr>
    </w:p>
    <w:p w:rsidR="008C1E14" w:rsidRPr="008C1E14" w:rsidRDefault="008C1E14" w:rsidP="008C1E14">
      <w:pPr>
        <w:numPr>
          <w:ilvl w:val="1"/>
          <w:numId w:val="14"/>
        </w:numPr>
        <w:suppressAutoHyphens/>
        <w:spacing w:after="0" w:line="276" w:lineRule="auto"/>
        <w:jc w:val="both"/>
        <w:rPr>
          <w:rFonts w:ascii="Palatino Linotype" w:eastAsia="Times New Roman" w:hAnsi="Palatino Linotype" w:cs="Calibri"/>
          <w:lang w:eastAsia="ar-SA"/>
        </w:rPr>
      </w:pPr>
      <w:proofErr w:type="gramStart"/>
      <w:r w:rsidRPr="008C1E14">
        <w:rPr>
          <w:rFonts w:ascii="Palatino Linotype" w:eastAsia="Times New Roman" w:hAnsi="Palatino Linotype" w:cs="Calibri"/>
          <w:lang w:eastAsia="ar-SA"/>
        </w:rPr>
        <w:t>soit</w:t>
      </w:r>
      <w:proofErr w:type="gramEnd"/>
      <w:r w:rsidRPr="008C1E14">
        <w:rPr>
          <w:rFonts w:ascii="Palatino Linotype" w:eastAsia="Times New Roman" w:hAnsi="Palatino Linotype" w:cs="Calibri"/>
          <w:lang w:eastAsia="ar-SA"/>
        </w:rPr>
        <w:t xml:space="preserve"> par l’employeur,</w:t>
      </w:r>
    </w:p>
    <w:p w:rsidR="008C1E14" w:rsidRPr="008C1E14" w:rsidRDefault="008C1E14" w:rsidP="008C1E14">
      <w:pPr>
        <w:numPr>
          <w:ilvl w:val="1"/>
          <w:numId w:val="14"/>
        </w:numPr>
        <w:suppressAutoHyphens/>
        <w:spacing w:after="0" w:line="276" w:lineRule="auto"/>
        <w:jc w:val="both"/>
        <w:rPr>
          <w:rFonts w:ascii="Palatino Linotype" w:eastAsia="Times New Roman" w:hAnsi="Palatino Linotype" w:cs="Calibri"/>
          <w:lang w:eastAsia="ar-SA"/>
        </w:rPr>
      </w:pPr>
      <w:proofErr w:type="gramStart"/>
      <w:r w:rsidRPr="008C1E14">
        <w:rPr>
          <w:rFonts w:ascii="Palatino Linotype" w:eastAsia="Times New Roman" w:hAnsi="Palatino Linotype" w:cs="Calibri"/>
          <w:lang w:eastAsia="ar-SA"/>
        </w:rPr>
        <w:t>soit</w:t>
      </w:r>
      <w:proofErr w:type="gramEnd"/>
      <w:r w:rsidRPr="008C1E14">
        <w:rPr>
          <w:rFonts w:ascii="Palatino Linotype" w:eastAsia="Times New Roman" w:hAnsi="Palatino Linotype" w:cs="Calibri"/>
          <w:lang w:eastAsia="ar-SA"/>
        </w:rPr>
        <w:t xml:space="preserve"> par le centre de gestion du ressort de l’employeur.</w:t>
      </w:r>
    </w:p>
    <w:p w:rsidR="008C1E14" w:rsidRPr="008C1E14" w:rsidRDefault="008C1E14" w:rsidP="008C1E14">
      <w:pPr>
        <w:suppressAutoHyphens/>
        <w:spacing w:after="0" w:line="240" w:lineRule="auto"/>
        <w:ind w:left="720"/>
        <w:jc w:val="both"/>
        <w:rPr>
          <w:rFonts w:ascii="Palatino Linotype" w:eastAsia="Times New Roman" w:hAnsi="Palatino Linotype" w:cs="Calibri"/>
          <w:lang w:eastAsia="ar-SA"/>
        </w:rPr>
      </w:pP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Le Président propose aux délégués, avec effet du 1</w:t>
      </w:r>
      <w:r w:rsidRPr="008C1E14">
        <w:rPr>
          <w:rFonts w:ascii="Palatino Linotype" w:eastAsia="Times New Roman" w:hAnsi="Palatino Linotype" w:cs="Calibri"/>
          <w:vertAlign w:val="superscript"/>
          <w:lang w:eastAsia="ar-SA"/>
        </w:rPr>
        <w:t>er</w:t>
      </w:r>
      <w:r w:rsidRPr="008C1E14">
        <w:rPr>
          <w:rFonts w:ascii="Palatino Linotype" w:eastAsia="Times New Roman" w:hAnsi="Palatino Linotype" w:cs="Calibri"/>
          <w:lang w:eastAsia="ar-SA"/>
        </w:rPr>
        <w:t xml:space="preserve"> janvier 2025 :</w:t>
      </w:r>
    </w:p>
    <w:p w:rsidR="008C1E14" w:rsidRPr="008C1E14" w:rsidRDefault="008C1E14" w:rsidP="008C1E14">
      <w:pPr>
        <w:suppressAutoHyphens/>
        <w:spacing w:after="0" w:line="240"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 xml:space="preserve"> </w:t>
      </w:r>
    </w:p>
    <w:p w:rsidR="008C1E14" w:rsidRPr="008C1E14" w:rsidRDefault="008C1E14" w:rsidP="008C1E14">
      <w:pPr>
        <w:numPr>
          <w:ilvl w:val="0"/>
          <w:numId w:val="16"/>
        </w:numPr>
        <w:suppressAutoHyphens/>
        <w:spacing w:after="0" w:line="276" w:lineRule="auto"/>
        <w:jc w:val="both"/>
        <w:rPr>
          <w:rFonts w:ascii="Palatino Linotype" w:eastAsia="Times New Roman" w:hAnsi="Palatino Linotype" w:cs="Calibri"/>
          <w:lang w:eastAsia="ar-SA"/>
        </w:rPr>
      </w:pPr>
      <w:r w:rsidRPr="008C1E14">
        <w:rPr>
          <w:rFonts w:ascii="Palatino Linotype" w:eastAsia="Times New Roman" w:hAnsi="Palatino Linotype" w:cs="Calibri"/>
          <w:lang w:eastAsia="ar-SA"/>
        </w:rPr>
        <w:t xml:space="preserve">Pour le risque </w:t>
      </w:r>
      <w:r w:rsidRPr="008C1E14">
        <w:rPr>
          <w:rFonts w:ascii="Palatino Linotype" w:eastAsia="Times New Roman" w:hAnsi="Palatino Linotype" w:cs="Calibri"/>
          <w:b/>
          <w:lang w:eastAsia="ar-SA"/>
        </w:rPr>
        <w:t>santé</w:t>
      </w:r>
      <w:r w:rsidRPr="008C1E14">
        <w:rPr>
          <w:rFonts w:ascii="Palatino Linotype" w:eastAsia="Times New Roman" w:hAnsi="Palatino Linotype" w:cs="Calibri"/>
          <w:lang w:eastAsia="ar-SA"/>
        </w:rPr>
        <w:t xml:space="preserve"> :</w:t>
      </w:r>
    </w:p>
    <w:p w:rsidR="008C1E14" w:rsidRPr="008C1E14" w:rsidRDefault="008C1E14" w:rsidP="008C1E14">
      <w:pPr>
        <w:suppressAutoHyphens/>
        <w:spacing w:after="0" w:line="276" w:lineRule="auto"/>
        <w:ind w:left="720"/>
        <w:jc w:val="both"/>
        <w:rPr>
          <w:rFonts w:ascii="Palatino Linotype" w:eastAsia="Times New Roman" w:hAnsi="Palatino Linotype" w:cs="Calibri"/>
          <w:sz w:val="10"/>
          <w:szCs w:val="10"/>
          <w:lang w:eastAsia="ar-SA"/>
        </w:rPr>
      </w:pPr>
    </w:p>
    <w:p w:rsidR="008C1E14" w:rsidRPr="008C1E14" w:rsidRDefault="008C1E14" w:rsidP="008C1E14">
      <w:pPr>
        <w:numPr>
          <w:ilvl w:val="1"/>
          <w:numId w:val="16"/>
        </w:numPr>
        <w:spacing w:after="0" w:line="276" w:lineRule="auto"/>
        <w:jc w:val="both"/>
        <w:rPr>
          <w:rFonts w:ascii="Palatino Linotype" w:eastAsia="Times New Roman" w:hAnsi="Palatino Linotype" w:cs="Calibri"/>
          <w:lang w:eastAsia="ar-SA"/>
        </w:rPr>
      </w:pPr>
      <w:r w:rsidRPr="008C1E14">
        <w:rPr>
          <w:rFonts w:ascii="Palatino Linotype" w:eastAsia="Times New Roman" w:hAnsi="Palatino Linotype" w:cs="Calibri"/>
          <w:i/>
          <w:lang w:eastAsia="ar-SA"/>
        </w:rPr>
        <w:t>De renouveler la participation mise en place le 1</w:t>
      </w:r>
      <w:r w:rsidRPr="008C1E14">
        <w:rPr>
          <w:rFonts w:ascii="Palatino Linotype" w:eastAsia="Times New Roman" w:hAnsi="Palatino Linotype" w:cs="Calibri"/>
          <w:i/>
          <w:vertAlign w:val="superscript"/>
          <w:lang w:eastAsia="ar-SA"/>
        </w:rPr>
        <w:t>er</w:t>
      </w:r>
      <w:r w:rsidRPr="008C1E14">
        <w:rPr>
          <w:rFonts w:ascii="Palatino Linotype" w:eastAsia="Times New Roman" w:hAnsi="Palatino Linotype" w:cs="Calibri"/>
          <w:i/>
          <w:lang w:eastAsia="ar-SA"/>
        </w:rPr>
        <w:t xml:space="preserve"> avril 2013 sur la base de la labellisation </w:t>
      </w:r>
      <w:r w:rsidRPr="008C1E14">
        <w:rPr>
          <w:rFonts w:ascii="Palatino Linotype" w:eastAsia="Times New Roman" w:hAnsi="Palatino Linotype" w:cs="Calibri"/>
          <w:lang w:eastAsia="ar-SA"/>
        </w:rPr>
        <w:t>en modifiant la condition d’attribution concernant le temps de travail, comme suit :</w:t>
      </w:r>
    </w:p>
    <w:p w:rsidR="008C1E14" w:rsidRPr="008C1E14" w:rsidRDefault="008C1E14" w:rsidP="008C1E14">
      <w:pPr>
        <w:spacing w:after="0" w:line="276" w:lineRule="auto"/>
        <w:jc w:val="both"/>
        <w:rPr>
          <w:rFonts w:ascii="Palatino Linotype" w:eastAsia="Times New Roman" w:hAnsi="Palatino Linotype" w:cs="Calibri"/>
          <w:lang w:eastAsia="ar-SA"/>
        </w:rPr>
      </w:pPr>
      <w:r w:rsidRPr="008C1E14">
        <w:rPr>
          <w:rFonts w:ascii="Palatino Linotype" w:eastAsia="Times New Roman" w:hAnsi="Palatino Linotype" w:cs="Calibri"/>
          <w:i/>
          <w:lang w:eastAsia="ar-SA"/>
        </w:rPr>
        <w:lastRenderedPageBreak/>
        <w:t>Chaque agent à temps complet, non complet ou à temps partiel bénéficiera d’une somme de 25 €/mois, dès l’instant où il adhère à une mutuelle labellisée, parmi celles mentionnées sur la liste publiée sur le site internet du ministère chargé des collectivités territoriales.</w:t>
      </w:r>
    </w:p>
    <w:p w:rsidR="008C1E14" w:rsidRPr="008C1E14" w:rsidRDefault="008C1E14" w:rsidP="008C1E14">
      <w:pPr>
        <w:spacing w:after="0" w:line="276" w:lineRule="auto"/>
        <w:ind w:left="1440"/>
        <w:jc w:val="both"/>
        <w:rPr>
          <w:rFonts w:ascii="Palatino Linotype" w:eastAsia="Times New Roman" w:hAnsi="Palatino Linotype" w:cs="Calibri"/>
          <w:lang w:eastAsia="ar-SA"/>
        </w:rPr>
      </w:pPr>
    </w:p>
    <w:p w:rsidR="008C1E14" w:rsidRPr="008C1E14" w:rsidRDefault="008C1E14" w:rsidP="008C1E14">
      <w:pPr>
        <w:spacing w:after="0" w:line="240" w:lineRule="auto"/>
        <w:rPr>
          <w:rFonts w:ascii="Palatino Linotype" w:eastAsia="Times New Roman" w:hAnsi="Palatino Linotype" w:cs="Times New Roman"/>
          <w:lang w:eastAsia="fr-FR"/>
        </w:rPr>
      </w:pPr>
      <w:r w:rsidRPr="008C1E14">
        <w:rPr>
          <w:rFonts w:ascii="Palatino Linotype" w:eastAsia="Times New Roman" w:hAnsi="Palatino Linotype" w:cs="Times New Roman"/>
          <w:lang w:eastAsia="fr-FR"/>
        </w:rPr>
        <w:t>Le Conseil Syndical, après en avoir délibéré, à l’unanimité :</w:t>
      </w:r>
    </w:p>
    <w:p w:rsidR="008C1E14" w:rsidRPr="008C1E14" w:rsidRDefault="008C1E14" w:rsidP="008C1E14">
      <w:pPr>
        <w:spacing w:after="0" w:line="240" w:lineRule="auto"/>
        <w:rPr>
          <w:rFonts w:ascii="Palatino Linotype" w:eastAsia="Times New Roman" w:hAnsi="Palatino Linotype" w:cs="Times New Roman"/>
          <w:lang w:eastAsia="fr-FR"/>
        </w:rPr>
      </w:pPr>
    </w:p>
    <w:p w:rsidR="008C1E14" w:rsidRPr="008C1E14" w:rsidRDefault="008C1E14" w:rsidP="008C1E14">
      <w:pPr>
        <w:suppressAutoHyphens/>
        <w:spacing w:after="0" w:line="276" w:lineRule="auto"/>
        <w:ind w:left="720"/>
        <w:jc w:val="both"/>
        <w:rPr>
          <w:rFonts w:ascii="Palatino Linotype" w:eastAsia="Times New Roman" w:hAnsi="Palatino Linotype" w:cs="Calibri"/>
          <w:lang w:eastAsia="ar-SA"/>
        </w:rPr>
      </w:pPr>
      <w:r w:rsidRPr="008C1E14">
        <w:rPr>
          <w:rFonts w:ascii="Palatino Linotype" w:eastAsia="Times New Roman" w:hAnsi="Palatino Linotype" w:cs="Times New Roman"/>
          <w:b/>
          <w:lang w:eastAsia="fr-FR"/>
        </w:rPr>
        <w:t xml:space="preserve">MAINTIENT </w:t>
      </w:r>
      <w:r w:rsidRPr="008C1E14">
        <w:rPr>
          <w:rFonts w:ascii="Palatino Linotype" w:eastAsia="Times New Roman" w:hAnsi="Palatino Linotype" w:cs="Times New Roman"/>
          <w:lang w:eastAsia="fr-FR"/>
        </w:rPr>
        <w:t>la procédure de labellisation, en</w:t>
      </w:r>
      <w:r w:rsidRPr="008C1E14">
        <w:rPr>
          <w:rFonts w:ascii="Palatino Linotype" w:eastAsia="Times New Roman" w:hAnsi="Palatino Linotype" w:cs="Calibri"/>
          <w:lang w:eastAsia="ar-SA"/>
        </w:rPr>
        <w:t xml:space="preserve"> versant une participation aux agents qui adhèrent à l'un des produits labellisés, parmi ceux mentionnés sur la liste publiée sur le site internet du ministère chargé des collectivités territoriales,</w:t>
      </w:r>
    </w:p>
    <w:p w:rsidR="008C1E14" w:rsidRPr="008C1E14" w:rsidRDefault="008C1E14" w:rsidP="008C1E14">
      <w:pPr>
        <w:spacing w:after="200" w:line="276" w:lineRule="auto"/>
        <w:ind w:left="720"/>
        <w:contextualSpacing/>
        <w:rPr>
          <w:rFonts w:ascii="Palatino Linotype" w:hAnsi="Palatino Linotype"/>
        </w:rPr>
      </w:pPr>
    </w:p>
    <w:p w:rsidR="008C1E14" w:rsidRPr="008C1E14" w:rsidRDefault="008C1E14" w:rsidP="008C1E14">
      <w:pPr>
        <w:spacing w:after="200" w:line="276" w:lineRule="auto"/>
        <w:ind w:left="720"/>
        <w:contextualSpacing/>
        <w:rPr>
          <w:rFonts w:ascii="Palatino Linotype" w:hAnsi="Palatino Linotype"/>
        </w:rPr>
      </w:pPr>
      <w:r w:rsidRPr="008C1E14">
        <w:rPr>
          <w:rFonts w:ascii="Palatino Linotype" w:hAnsi="Palatino Linotype"/>
          <w:b/>
        </w:rPr>
        <w:t xml:space="preserve">MODIFIE </w:t>
      </w:r>
      <w:r w:rsidRPr="008C1E14">
        <w:rPr>
          <w:rFonts w:ascii="Palatino Linotype" w:hAnsi="Palatino Linotype"/>
        </w:rPr>
        <w:t>les conditions d’attribution comme suit :</w:t>
      </w:r>
    </w:p>
    <w:p w:rsidR="008C1E14" w:rsidRPr="008C1E14" w:rsidRDefault="008C1E14" w:rsidP="008C1E14">
      <w:pPr>
        <w:spacing w:after="200" w:line="276" w:lineRule="auto"/>
        <w:ind w:left="720"/>
        <w:contextualSpacing/>
        <w:rPr>
          <w:rFonts w:ascii="Palatino Linotype" w:hAnsi="Palatino Linotype"/>
          <w:sz w:val="12"/>
          <w:szCs w:val="12"/>
        </w:rPr>
      </w:pPr>
    </w:p>
    <w:p w:rsidR="008C1E14" w:rsidRPr="008C1E14" w:rsidRDefault="008C1E14" w:rsidP="008C1E14">
      <w:pPr>
        <w:numPr>
          <w:ilvl w:val="1"/>
          <w:numId w:val="17"/>
        </w:numPr>
        <w:spacing w:after="200" w:line="276" w:lineRule="auto"/>
        <w:contextualSpacing/>
        <w:jc w:val="both"/>
        <w:rPr>
          <w:rFonts w:ascii="Palatino Linotype" w:hAnsi="Palatino Linotype"/>
        </w:rPr>
      </w:pPr>
      <w:proofErr w:type="gramStart"/>
      <w:r w:rsidRPr="008C1E14">
        <w:rPr>
          <w:rFonts w:ascii="Palatino Linotype" w:hAnsi="Palatino Linotype"/>
        </w:rPr>
        <w:t>la</w:t>
      </w:r>
      <w:proofErr w:type="gramEnd"/>
      <w:r w:rsidRPr="008C1E14">
        <w:rPr>
          <w:rFonts w:ascii="Palatino Linotype" w:hAnsi="Palatino Linotype"/>
        </w:rPr>
        <w:t xml:space="preserve"> somme de 25 € par mois et par agent adhérent à une mutuelle labellisée sera maintenue et attribuée à chaque agent à temps complet, non complet ou à temps partiel,</w:t>
      </w:r>
    </w:p>
    <w:p w:rsidR="008C1E14" w:rsidRPr="008C1E14" w:rsidRDefault="008C1E14" w:rsidP="008C1E14">
      <w:pPr>
        <w:numPr>
          <w:ilvl w:val="1"/>
          <w:numId w:val="17"/>
        </w:numPr>
        <w:spacing w:after="200" w:line="276" w:lineRule="auto"/>
        <w:contextualSpacing/>
        <w:jc w:val="both"/>
        <w:rPr>
          <w:rFonts w:ascii="Palatino Linotype" w:hAnsi="Palatino Linotype"/>
        </w:rPr>
      </w:pPr>
      <w:proofErr w:type="gramStart"/>
      <w:r w:rsidRPr="008C1E14">
        <w:rPr>
          <w:rFonts w:ascii="Palatino Linotype" w:hAnsi="Palatino Linotype"/>
        </w:rPr>
        <w:t>la</w:t>
      </w:r>
      <w:proofErr w:type="gramEnd"/>
      <w:r w:rsidRPr="008C1E14">
        <w:rPr>
          <w:rFonts w:ascii="Palatino Linotype" w:hAnsi="Palatino Linotype"/>
        </w:rPr>
        <w:t xml:space="preserve"> participation sera versée directement à l’agent et apparaîtra sur son bulletin de paie,</w:t>
      </w:r>
    </w:p>
    <w:p w:rsidR="008C1E14" w:rsidRPr="008C1E14" w:rsidRDefault="008C1E14" w:rsidP="008C1E14">
      <w:pPr>
        <w:numPr>
          <w:ilvl w:val="1"/>
          <w:numId w:val="17"/>
        </w:numPr>
        <w:spacing w:after="200" w:line="276" w:lineRule="auto"/>
        <w:contextualSpacing/>
        <w:jc w:val="both"/>
        <w:rPr>
          <w:rFonts w:ascii="Palatino Linotype" w:hAnsi="Palatino Linotype"/>
        </w:rPr>
      </w:pPr>
      <w:proofErr w:type="gramStart"/>
      <w:r w:rsidRPr="008C1E14">
        <w:rPr>
          <w:rFonts w:ascii="Palatino Linotype" w:hAnsi="Palatino Linotype"/>
        </w:rPr>
        <w:t>date</w:t>
      </w:r>
      <w:proofErr w:type="gramEnd"/>
      <w:r w:rsidRPr="008C1E14">
        <w:rPr>
          <w:rFonts w:ascii="Palatino Linotype" w:hAnsi="Palatino Linotype"/>
        </w:rPr>
        <w:t xml:space="preserve"> d’application : le 1</w:t>
      </w:r>
      <w:r w:rsidRPr="008C1E14">
        <w:rPr>
          <w:rFonts w:ascii="Palatino Linotype" w:hAnsi="Palatino Linotype"/>
          <w:vertAlign w:val="superscript"/>
        </w:rPr>
        <w:t>er</w:t>
      </w:r>
      <w:r w:rsidRPr="008C1E14">
        <w:rPr>
          <w:rFonts w:ascii="Palatino Linotype" w:hAnsi="Palatino Linotype"/>
        </w:rPr>
        <w:t xml:space="preserve"> janvier 2025,</w:t>
      </w:r>
    </w:p>
    <w:p w:rsidR="008C1E14" w:rsidRPr="008C1E14" w:rsidRDefault="008C1E14" w:rsidP="008C1E14">
      <w:pPr>
        <w:spacing w:after="200" w:line="276" w:lineRule="auto"/>
        <w:ind w:left="720"/>
        <w:contextualSpacing/>
        <w:jc w:val="both"/>
        <w:rPr>
          <w:rFonts w:ascii="Palatino Linotype" w:hAnsi="Palatino Linotype"/>
        </w:rPr>
      </w:pPr>
    </w:p>
    <w:p w:rsidR="008C1E14" w:rsidRPr="008C1E14" w:rsidRDefault="008C1E14" w:rsidP="008C1E14">
      <w:pPr>
        <w:spacing w:after="0" w:line="276" w:lineRule="auto"/>
        <w:ind w:left="720"/>
        <w:contextualSpacing/>
        <w:jc w:val="both"/>
        <w:rPr>
          <w:rFonts w:ascii="Palatino Linotype" w:eastAsia="Times New Roman" w:hAnsi="Palatino Linotype" w:cs="Calibri"/>
          <w:lang w:eastAsia="ar-SA"/>
        </w:rPr>
      </w:pPr>
      <w:r w:rsidRPr="008C1E14">
        <w:rPr>
          <w:rFonts w:ascii="Palatino Linotype" w:hAnsi="Palatino Linotype"/>
          <w:b/>
        </w:rPr>
        <w:t>AUTORISE</w:t>
      </w:r>
      <w:r w:rsidRPr="008C1E14">
        <w:rPr>
          <w:rFonts w:ascii="Palatino Linotype" w:hAnsi="Palatino Linotype"/>
        </w:rPr>
        <w:t xml:space="preserve"> le Président à effectuer tout acte en découlant. </w:t>
      </w:r>
    </w:p>
    <w:p w:rsidR="00D000BD" w:rsidRDefault="00D000BD" w:rsidP="00173F9B">
      <w:pPr>
        <w:pStyle w:val="FreeForm"/>
        <w:jc w:val="both"/>
        <w:rPr>
          <w:rFonts w:ascii="Palatino Linotype" w:eastAsia="Lucida Grande" w:hAnsi="Palatino Linotype" w:cs="Arial"/>
          <w:sz w:val="22"/>
          <w:szCs w:val="22"/>
        </w:rPr>
      </w:pPr>
    </w:p>
    <w:p w:rsidR="008C1E14" w:rsidRPr="003B5A84" w:rsidRDefault="008C1E14" w:rsidP="00173F9B">
      <w:pPr>
        <w:pStyle w:val="FreeForm"/>
        <w:jc w:val="both"/>
        <w:rPr>
          <w:rFonts w:ascii="Palatino Linotype" w:eastAsia="Lucida Grande" w:hAnsi="Palatino Linotype" w:cs="Arial"/>
          <w:sz w:val="22"/>
          <w:szCs w:val="22"/>
        </w:rPr>
      </w:pPr>
    </w:p>
    <w:p w:rsidR="00173F9B" w:rsidRPr="003F31DD" w:rsidRDefault="00173F9B" w:rsidP="00FA08E3">
      <w:pPr>
        <w:pStyle w:val="Paragraphedeliste"/>
        <w:pBdr>
          <w:top w:val="single" w:sz="4" w:space="1" w:color="auto"/>
          <w:left w:val="single" w:sz="4" w:space="31" w:color="auto"/>
          <w:bottom w:val="single" w:sz="4" w:space="1" w:color="auto"/>
          <w:right w:val="single" w:sz="4" w:space="4" w:color="auto"/>
        </w:pBdr>
        <w:tabs>
          <w:tab w:val="left" w:pos="7088"/>
        </w:tabs>
        <w:ind w:left="567"/>
        <w:jc w:val="center"/>
        <w:rPr>
          <w:rFonts w:ascii="Palatino Linotype" w:hAnsi="Palatino Linotype" w:cs="Calibri"/>
          <w:b/>
          <w:color w:val="000000"/>
          <w:sz w:val="24"/>
          <w:szCs w:val="24"/>
        </w:rPr>
      </w:pPr>
      <w:r w:rsidRPr="003F31DD">
        <w:rPr>
          <w:rFonts w:ascii="Palatino Linotype" w:hAnsi="Palatino Linotype" w:cs="Calibri"/>
          <w:b/>
          <w:color w:val="000000"/>
          <w:sz w:val="24"/>
          <w:szCs w:val="24"/>
        </w:rPr>
        <w:t>INFORMATIONS ET QUESTIONS DIVERSES</w:t>
      </w:r>
    </w:p>
    <w:p w:rsidR="00093FEA" w:rsidRDefault="00093FEA" w:rsidP="00093FEA">
      <w:pPr>
        <w:pStyle w:val="Paragraphedeliste"/>
        <w:widowControl w:val="0"/>
        <w:rPr>
          <w:rFonts w:ascii="Palatino Linotype" w:hAnsi="Palatino Linotype"/>
          <w:b/>
          <w:color w:val="323E4F" w:themeColor="text2" w:themeShade="BF"/>
          <w:sz w:val="24"/>
          <w:szCs w:val="24"/>
          <w:u w:val="single"/>
        </w:rPr>
      </w:pPr>
    </w:p>
    <w:p w:rsidR="00125FE7" w:rsidRDefault="00125FE7" w:rsidP="00125FE7">
      <w:pPr>
        <w:spacing w:after="200" w:line="276" w:lineRule="auto"/>
        <w:ind w:left="360"/>
        <w:jc w:val="both"/>
        <w:rPr>
          <w:rFonts w:ascii="Palatino Linotype" w:hAnsi="Palatino Linotype"/>
        </w:rPr>
      </w:pPr>
      <w:r>
        <w:rPr>
          <w:rFonts w:ascii="Palatino Linotype" w:hAnsi="Palatino Linotype"/>
        </w:rPr>
        <w:t>Une réunion a été organisée par la Communauté de Communes des Vosges du Sud à laquelle le Cabinet COGITE et les élus étaient conviés. Cette réunion portait sur l’intégration des Syndicats au 1</w:t>
      </w:r>
      <w:r w:rsidRPr="00125FE7">
        <w:rPr>
          <w:rFonts w:ascii="Palatino Linotype" w:hAnsi="Palatino Linotype"/>
          <w:vertAlign w:val="superscript"/>
        </w:rPr>
        <w:t>er</w:t>
      </w:r>
      <w:r>
        <w:rPr>
          <w:rFonts w:ascii="Palatino Linotype" w:hAnsi="Palatino Linotype"/>
        </w:rPr>
        <w:t xml:space="preserve"> janvier 202</w:t>
      </w:r>
      <w:r w:rsidR="00A61327">
        <w:rPr>
          <w:rFonts w:ascii="Palatino Linotype" w:hAnsi="Palatino Linotype"/>
        </w:rPr>
        <w:t>6</w:t>
      </w:r>
      <w:r>
        <w:rPr>
          <w:rFonts w:ascii="Palatino Linotype" w:hAnsi="Palatino Linotype"/>
        </w:rPr>
        <w:t>. A ce jour, rien n’est arrêté, une nouvelle réunion sera organisée en février 2025.</w:t>
      </w:r>
    </w:p>
    <w:p w:rsidR="00125FE7" w:rsidRDefault="00125FE7" w:rsidP="00125FE7">
      <w:pPr>
        <w:spacing w:after="200" w:line="276" w:lineRule="auto"/>
        <w:ind w:left="360"/>
        <w:jc w:val="both"/>
        <w:rPr>
          <w:rFonts w:ascii="Palatino Linotype" w:hAnsi="Palatino Linotype"/>
        </w:rPr>
      </w:pPr>
      <w:r>
        <w:rPr>
          <w:rFonts w:ascii="Palatino Linotype" w:hAnsi="Palatino Linotype"/>
        </w:rPr>
        <w:t>Les travaux de b</w:t>
      </w:r>
      <w:r>
        <w:rPr>
          <w:rFonts w:ascii="Palatino Linotype" w:hAnsi="Palatino Linotype"/>
        </w:rPr>
        <w:t>ranchements</w:t>
      </w:r>
      <w:r>
        <w:rPr>
          <w:rFonts w:ascii="Palatino Linotype" w:hAnsi="Palatino Linotype"/>
        </w:rPr>
        <w:t xml:space="preserve"> électriques</w:t>
      </w:r>
      <w:r>
        <w:rPr>
          <w:rFonts w:ascii="Palatino Linotype" w:hAnsi="Palatino Linotype"/>
        </w:rPr>
        <w:t xml:space="preserve"> </w:t>
      </w:r>
      <w:r>
        <w:rPr>
          <w:rFonts w:ascii="Palatino Linotype" w:hAnsi="Palatino Linotype"/>
        </w:rPr>
        <w:t xml:space="preserve">pour les stations de </w:t>
      </w:r>
      <w:r>
        <w:rPr>
          <w:rFonts w:ascii="Palatino Linotype" w:hAnsi="Palatino Linotype"/>
        </w:rPr>
        <w:t>LEVAL I et II</w:t>
      </w:r>
      <w:r>
        <w:rPr>
          <w:rFonts w:ascii="Palatino Linotype" w:hAnsi="Palatino Linotype"/>
        </w:rPr>
        <w:t xml:space="preserve"> sont en cours. Un devis concernant le démantèlement a été demandé.</w:t>
      </w:r>
      <w:bookmarkStart w:id="3" w:name="_GoBack"/>
      <w:bookmarkEnd w:id="3"/>
    </w:p>
    <w:p w:rsidR="00125FE7" w:rsidRPr="00125FE7" w:rsidRDefault="00125FE7" w:rsidP="00125FE7">
      <w:pPr>
        <w:spacing w:line="256" w:lineRule="auto"/>
        <w:ind w:left="360"/>
        <w:jc w:val="both"/>
        <w:rPr>
          <w:rFonts w:ascii="Palatino Linotype" w:hAnsi="Palatino Linotype"/>
        </w:rPr>
      </w:pPr>
      <w:r w:rsidRPr="00125FE7">
        <w:rPr>
          <w:rFonts w:ascii="Palatino Linotype" w:hAnsi="Palatino Linotype"/>
        </w:rPr>
        <w:t>La c</w:t>
      </w:r>
      <w:r w:rsidRPr="00125FE7">
        <w:rPr>
          <w:rFonts w:ascii="Palatino Linotype" w:hAnsi="Palatino Linotype"/>
        </w:rPr>
        <w:t>onsultation</w:t>
      </w:r>
      <w:r>
        <w:rPr>
          <w:rFonts w:ascii="Palatino Linotype" w:hAnsi="Palatino Linotype"/>
        </w:rPr>
        <w:t xml:space="preserve"> concernant le</w:t>
      </w:r>
      <w:r w:rsidRPr="00125FE7">
        <w:rPr>
          <w:rFonts w:ascii="Palatino Linotype" w:hAnsi="Palatino Linotype"/>
        </w:rPr>
        <w:t xml:space="preserve"> marché de travaux d’entretien du réseau </w:t>
      </w:r>
      <w:r>
        <w:rPr>
          <w:rFonts w:ascii="Palatino Linotype" w:hAnsi="Palatino Linotype"/>
        </w:rPr>
        <w:t>sera lancée très prochainement. Le suivi a été confié au Bureau d’Etudes Jacquet.</w:t>
      </w:r>
    </w:p>
    <w:p w:rsidR="00125FE7" w:rsidRPr="00310662" w:rsidRDefault="00125FE7" w:rsidP="00125FE7">
      <w:pPr>
        <w:tabs>
          <w:tab w:val="left" w:pos="2908"/>
        </w:tabs>
        <w:rPr>
          <w:rFonts w:ascii="Palatino Linotype" w:eastAsia="MS Mincho" w:hAnsi="Palatino Linotype"/>
          <w:sz w:val="24"/>
          <w:szCs w:val="24"/>
        </w:rPr>
      </w:pPr>
    </w:p>
    <w:p w:rsidR="003F31DD" w:rsidRPr="003F31DD" w:rsidRDefault="003F31DD" w:rsidP="003F31DD">
      <w:pPr>
        <w:ind w:firstLine="708"/>
        <w:rPr>
          <w:rFonts w:ascii="Palatino Linotype" w:hAnsi="Palatino Linotype"/>
        </w:rPr>
      </w:pPr>
    </w:p>
    <w:sectPr w:rsidR="003F31DD" w:rsidRPr="003F31DD" w:rsidSect="00FA08E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F Compact Display Regular">
    <w:altName w:val="Cambria"/>
    <w:charset w:val="00"/>
    <w:family w:val="roman"/>
    <w:pitch w:val="default"/>
  </w:font>
  <w:font w:name="SF Compact Text Regular">
    <w:altName w:val="Cambria"/>
    <w:charset w:val="00"/>
    <w:family w:val="roman"/>
    <w:pitch w:val="default"/>
  </w:font>
  <w:font w:name="Lucida Grande">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33F"/>
      </v:shape>
    </w:pict>
  </w:numPicBullet>
  <w:numPicBullet w:numPicBulletId="1">
    <w:pict>
      <v:shape id="_x0000_i1039" type="#_x0000_t75" style="width:11.25pt;height:11.25pt" o:bullet="t">
        <v:imagedata r:id="rId2" o:title="msoB27F"/>
      </v:shape>
    </w:pict>
  </w:numPicBullet>
  <w:abstractNum w:abstractNumId="0" w15:restartNumberingAfterBreak="0">
    <w:nsid w:val="1062304B"/>
    <w:multiLevelType w:val="hybridMultilevel"/>
    <w:tmpl w:val="416ADCC2"/>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534B8"/>
    <w:multiLevelType w:val="hybridMultilevel"/>
    <w:tmpl w:val="61660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584FFC"/>
    <w:multiLevelType w:val="hybridMultilevel"/>
    <w:tmpl w:val="7B98ED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74FA"/>
    <w:multiLevelType w:val="hybridMultilevel"/>
    <w:tmpl w:val="F968D0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A518F"/>
    <w:multiLevelType w:val="hybridMultilevel"/>
    <w:tmpl w:val="279E65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0D862F8"/>
    <w:multiLevelType w:val="hybridMultilevel"/>
    <w:tmpl w:val="F9922042"/>
    <w:lvl w:ilvl="0" w:tplc="02E8CC5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30597C"/>
    <w:multiLevelType w:val="hybridMultilevel"/>
    <w:tmpl w:val="6610E286"/>
    <w:lvl w:ilvl="0" w:tplc="B9F6BC4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CCCFE2">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F8AD746">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213C85D4">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AB2B47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E20B452">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1D465580">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68F5E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06EB382">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A977E0"/>
    <w:multiLevelType w:val="hybridMultilevel"/>
    <w:tmpl w:val="39B0A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21971"/>
    <w:multiLevelType w:val="hybridMultilevel"/>
    <w:tmpl w:val="317249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C4B2C86"/>
    <w:multiLevelType w:val="hybridMultilevel"/>
    <w:tmpl w:val="B3FA34CE"/>
    <w:lvl w:ilvl="0" w:tplc="7CA2C3EC">
      <w:start w:val="1"/>
      <w:numFmt w:val="bullet"/>
      <w:lvlText w:val="−"/>
      <w:lvlJc w:val="left"/>
      <w:pPr>
        <w:ind w:left="630" w:hanging="360"/>
      </w:pPr>
      <w:rPr>
        <w:rFonts w:ascii="Arial" w:hAnsi="Arial" w:hint="default"/>
        <w:caps w:val="0"/>
        <w:smallCaps w:val="0"/>
        <w:strike w:val="0"/>
        <w:dstrike w:val="0"/>
        <w:outline w:val="0"/>
        <w:emboss w:val="0"/>
        <w:imprint w:val="0"/>
        <w:spacing w:val="0"/>
        <w:w w:val="100"/>
        <w:kern w:val="0"/>
        <w:position w:val="0"/>
        <w:vertAlign w:val="baseline"/>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2" w15:restartNumberingAfterBreak="0">
    <w:nsid w:val="521B14C0"/>
    <w:multiLevelType w:val="hybridMultilevel"/>
    <w:tmpl w:val="3A7CF1B6"/>
    <w:lvl w:ilvl="0" w:tplc="040C0007">
      <w:start w:val="1"/>
      <w:numFmt w:val="bullet"/>
      <w:lvlText w:val=""/>
      <w:lvlPicBulletId w:val="0"/>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D4DF2"/>
    <w:multiLevelType w:val="hybridMultilevel"/>
    <w:tmpl w:val="27C2BAC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E924FF"/>
    <w:multiLevelType w:val="hybridMultilevel"/>
    <w:tmpl w:val="CA640F72"/>
    <w:lvl w:ilvl="0" w:tplc="FFFFFFFF">
      <w:numFmt w:val="bullet"/>
      <w:lvlText w:val="-"/>
      <w:lvlJc w:val="left"/>
      <w:pPr>
        <w:ind w:left="720" w:hanging="360"/>
      </w:pPr>
      <w:rPr>
        <w:rFonts w:ascii="Calibri" w:eastAsiaTheme="minorHAnsi" w:hAnsi="Calibri" w:cs="Calibri" w:hint="default"/>
      </w:rPr>
    </w:lvl>
    <w:lvl w:ilvl="1" w:tplc="348067C2">
      <w:start w:val="1"/>
      <w:numFmt w:val="bullet"/>
      <w:lvlText w:val="•"/>
      <w:lvlJc w:val="left"/>
      <w:pPr>
        <w:ind w:left="1440" w:hanging="360"/>
      </w:pPr>
      <w:rPr>
        <w:rFonts w:ascii="Titillium" w:hAnsi="Titillium"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CE5DAD"/>
    <w:multiLevelType w:val="hybridMultilevel"/>
    <w:tmpl w:val="899A67EC"/>
    <w:lvl w:ilvl="0" w:tplc="DC9AAD94">
      <w:start w:val="6"/>
      <w:numFmt w:val="bullet"/>
      <w:lvlText w:val="-"/>
      <w:lvlJc w:val="left"/>
      <w:pPr>
        <w:ind w:left="720" w:hanging="360"/>
      </w:pPr>
      <w:rPr>
        <w:rFonts w:ascii="Palatino Linotype" w:eastAsia="Arial Unicode MS" w:hAnsi="Palatino Linotyp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CE1160"/>
    <w:multiLevelType w:val="hybridMultilevel"/>
    <w:tmpl w:val="24E0E85A"/>
    <w:lvl w:ilvl="0" w:tplc="6CDA8352">
      <w:start w:val="1"/>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6E7C5F77"/>
    <w:multiLevelType w:val="hybridMultilevel"/>
    <w:tmpl w:val="D5D4C156"/>
    <w:lvl w:ilvl="0" w:tplc="25823A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95248E"/>
    <w:multiLevelType w:val="hybridMultilevel"/>
    <w:tmpl w:val="4282E56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15:restartNumberingAfterBreak="0">
    <w:nsid w:val="7D527574"/>
    <w:multiLevelType w:val="hybridMultilevel"/>
    <w:tmpl w:val="8C5C2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9"/>
  </w:num>
  <w:num w:numId="4">
    <w:abstractNumId w:val="11"/>
  </w:num>
  <w:num w:numId="5">
    <w:abstractNumId w:val="2"/>
  </w:num>
  <w:num w:numId="6">
    <w:abstractNumId w:val="4"/>
  </w:num>
  <w:num w:numId="7">
    <w:abstractNumId w:val="17"/>
  </w:num>
  <w:num w:numId="8">
    <w:abstractNumId w:val="14"/>
  </w:num>
  <w:num w:numId="9">
    <w:abstractNumId w:val="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3"/>
  </w:num>
  <w:num w:numId="15">
    <w:abstractNumId w:val="5"/>
  </w:num>
  <w:num w:numId="16">
    <w:abstractNumId w:val="7"/>
  </w:num>
  <w:num w:numId="17">
    <w:abstractNumId w:val="0"/>
  </w:num>
  <w:num w:numId="18">
    <w:abstractNumId w:val="9"/>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A8"/>
    <w:rsid w:val="00020D15"/>
    <w:rsid w:val="00093FEA"/>
    <w:rsid w:val="00125FE7"/>
    <w:rsid w:val="00173F9B"/>
    <w:rsid w:val="00216FB3"/>
    <w:rsid w:val="002E26CB"/>
    <w:rsid w:val="00364F9F"/>
    <w:rsid w:val="003F31DD"/>
    <w:rsid w:val="003F4525"/>
    <w:rsid w:val="004369F3"/>
    <w:rsid w:val="00445D6C"/>
    <w:rsid w:val="005070F2"/>
    <w:rsid w:val="00581FAF"/>
    <w:rsid w:val="006B7B23"/>
    <w:rsid w:val="006E00E8"/>
    <w:rsid w:val="007B7B8C"/>
    <w:rsid w:val="008C1E14"/>
    <w:rsid w:val="009F0711"/>
    <w:rsid w:val="00A61327"/>
    <w:rsid w:val="00AE169F"/>
    <w:rsid w:val="00B37728"/>
    <w:rsid w:val="00B550CC"/>
    <w:rsid w:val="00B76D74"/>
    <w:rsid w:val="00C241FC"/>
    <w:rsid w:val="00CA3C3A"/>
    <w:rsid w:val="00D000BD"/>
    <w:rsid w:val="00D03FB8"/>
    <w:rsid w:val="00DB057F"/>
    <w:rsid w:val="00EA194B"/>
    <w:rsid w:val="00EA5D9E"/>
    <w:rsid w:val="00EB635C"/>
    <w:rsid w:val="00F0000C"/>
    <w:rsid w:val="00F459D5"/>
    <w:rsid w:val="00FA08E3"/>
    <w:rsid w:val="00FC6DEB"/>
    <w:rsid w:val="00FF5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9B8C"/>
  <w15:chartTrackingRefBased/>
  <w15:docId w15:val="{467AF3CA-1734-4506-8275-564A3EC8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reeForm">
    <w:name w:val="Free Form"/>
    <w:rsid w:val="00FF50A8"/>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fr-FR"/>
      <w14:textOutline w14:w="0" w14:cap="flat" w14:cmpd="sng" w14:algn="ctr">
        <w14:noFill/>
        <w14:prstDash w14:val="solid"/>
        <w14:bevel/>
      </w14:textOutline>
    </w:rPr>
  </w:style>
  <w:style w:type="paragraph" w:styleId="Paragraphedeliste">
    <w:name w:val="List Paragraph"/>
    <w:basedOn w:val="Normal"/>
    <w:uiPriority w:val="34"/>
    <w:qFormat/>
    <w:rsid w:val="00FF50A8"/>
    <w:pPr>
      <w:ind w:left="720"/>
      <w:contextualSpacing/>
    </w:pPr>
  </w:style>
  <w:style w:type="paragraph" w:styleId="Textedebulles">
    <w:name w:val="Balloon Text"/>
    <w:basedOn w:val="Normal"/>
    <w:link w:val="TextedebullesCar"/>
    <w:uiPriority w:val="99"/>
    <w:semiHidden/>
    <w:unhideWhenUsed/>
    <w:rsid w:val="00173F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F9B"/>
    <w:rPr>
      <w:rFonts w:ascii="Segoe UI" w:hAnsi="Segoe UI" w:cs="Segoe UI"/>
      <w:sz w:val="18"/>
      <w:szCs w:val="18"/>
    </w:rPr>
  </w:style>
  <w:style w:type="character" w:customStyle="1" w:styleId="SansinterligneCar">
    <w:name w:val="Sans interligne Car"/>
    <w:link w:val="Sansinterligne"/>
    <w:uiPriority w:val="1"/>
    <w:locked/>
    <w:rsid w:val="00364F9F"/>
  </w:style>
  <w:style w:type="paragraph" w:styleId="Sansinterligne">
    <w:name w:val="No Spacing"/>
    <w:link w:val="SansinterligneCar"/>
    <w:uiPriority w:val="1"/>
    <w:qFormat/>
    <w:rsid w:val="0036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6718">
      <w:bodyDiv w:val="1"/>
      <w:marLeft w:val="0"/>
      <w:marRight w:val="0"/>
      <w:marTop w:val="0"/>
      <w:marBottom w:val="0"/>
      <w:divBdr>
        <w:top w:val="none" w:sz="0" w:space="0" w:color="auto"/>
        <w:left w:val="none" w:sz="0" w:space="0" w:color="auto"/>
        <w:bottom w:val="none" w:sz="0" w:space="0" w:color="auto"/>
        <w:right w:val="none" w:sz="0" w:space="0" w:color="auto"/>
      </w:divBdr>
    </w:div>
    <w:div w:id="15989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DB55-FF6C-4DF4-A3AD-E74BBACE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2710</Words>
  <Characters>14906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cp:lastPrinted>2025-01-06T15:01:00Z</cp:lastPrinted>
  <dcterms:created xsi:type="dcterms:W3CDTF">2025-01-06T07:58:00Z</dcterms:created>
  <dcterms:modified xsi:type="dcterms:W3CDTF">2025-01-07T12:56:00Z</dcterms:modified>
</cp:coreProperties>
</file>